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BDA0E5" w14:textId="77777777" w:rsidR="00EE6051" w:rsidRPr="00EE6051" w:rsidRDefault="000C099A" w:rsidP="00CE6900">
      <w:pPr>
        <w:pStyle w:val="Titre1"/>
      </w:pPr>
      <w:r>
        <w:t xml:space="preserve">Delayed mode quality control </w:t>
      </w:r>
    </w:p>
    <w:p w14:paraId="2ED24F14" w14:textId="77777777" w:rsidR="008B3A84" w:rsidRDefault="000C099A" w:rsidP="00EE6051">
      <w:pPr>
        <w:pStyle w:val="Titre2"/>
      </w:pPr>
      <w:r>
        <w:t>Definition of TSG variables</w:t>
      </w:r>
    </w:p>
    <w:p w14:paraId="5CD8E86D" w14:textId="22A7F637" w:rsidR="00A31FFF" w:rsidRDefault="008C181A">
      <w:pPr>
        <w:pStyle w:val="Standard"/>
      </w:pPr>
      <w:r>
        <w:t>Thermo</w:t>
      </w:r>
      <w:r w:rsidR="00AC21AB">
        <w:t>-</w:t>
      </w:r>
      <w:proofErr w:type="spellStart"/>
      <w:r>
        <w:t>salinometers</w:t>
      </w:r>
      <w:proofErr w:type="spellEnd"/>
      <w:r>
        <w:t xml:space="preserve"> </w:t>
      </w:r>
      <w:r w:rsidR="00AC21AB">
        <w:t xml:space="preserve">(TSG) </w:t>
      </w:r>
      <w:r>
        <w:t>installed on board research, commercial or other opportunity ships</w:t>
      </w:r>
      <w:r w:rsidR="00AC21AB">
        <w:t>,</w:t>
      </w:r>
      <w:r>
        <w:t xml:space="preserve"> aim at measuring the ocean surface temperature and salinity properties</w:t>
      </w:r>
      <w:r w:rsidR="0030050E">
        <w:t xml:space="preserve"> (</w:t>
      </w:r>
      <w:r w:rsidR="0030050E" w:rsidRPr="0030050E">
        <w:rPr>
          <w:i/>
        </w:rPr>
        <w:t>SST</w:t>
      </w:r>
      <w:r w:rsidR="0030050E">
        <w:t xml:space="preserve"> and </w:t>
      </w:r>
      <w:r w:rsidR="0030050E" w:rsidRPr="0030050E">
        <w:rPr>
          <w:i/>
        </w:rPr>
        <w:t>SSS</w:t>
      </w:r>
      <w:r w:rsidR="0030050E">
        <w:t>)</w:t>
      </w:r>
      <w:r>
        <w:t xml:space="preserve">. However, the </w:t>
      </w:r>
      <w:r w:rsidR="00AC21AB">
        <w:t xml:space="preserve">values that are reported by the devices do not correspond to the exact Sea-Surface conditions. Water is pumped into the measuring device through </w:t>
      </w:r>
      <w:r w:rsidR="000931F4">
        <w:t xml:space="preserve">a water intake, positioned at a specific depth bellow surface and distance from the ship bow. </w:t>
      </w:r>
      <w:r w:rsidR="00AC21AB">
        <w:t xml:space="preserve"> </w:t>
      </w:r>
      <w:r w:rsidR="0003321F">
        <w:t>Whenever possible, a temperature sensor is set near the water intake</w:t>
      </w:r>
      <w:r w:rsidR="00A31FFF">
        <w:t xml:space="preserve"> to give </w:t>
      </w:r>
      <w:r w:rsidR="0030050E">
        <w:t xml:space="preserve">the </w:t>
      </w:r>
      <w:r w:rsidR="0030050E" w:rsidRPr="00EE447B">
        <w:rPr>
          <w:b/>
        </w:rPr>
        <w:t>SSTP</w:t>
      </w:r>
      <w:r w:rsidR="0030050E">
        <w:t xml:space="preserve"> measurement</w:t>
      </w:r>
      <w:r w:rsidR="0003321F">
        <w:t xml:space="preserve">. </w:t>
      </w:r>
      <w:r w:rsidR="003A34BD">
        <w:t>The water has to travel</w:t>
      </w:r>
      <w:r w:rsidR="000931F4">
        <w:t xml:space="preserve"> </w:t>
      </w:r>
      <w:r w:rsidR="0003321F">
        <w:t>some distance in the water circuit before it</w:t>
      </w:r>
      <w:r w:rsidR="003A34BD">
        <w:t xml:space="preserve"> reaches the conductivity cell. To deduce salinity </w:t>
      </w:r>
      <w:r w:rsidR="0030050E">
        <w:t>(</w:t>
      </w:r>
      <w:r w:rsidR="0030050E" w:rsidRPr="00EE447B">
        <w:rPr>
          <w:b/>
        </w:rPr>
        <w:t>SSPS</w:t>
      </w:r>
      <w:r w:rsidR="0030050E">
        <w:t>) from the</w:t>
      </w:r>
      <w:r w:rsidR="00A31FFF">
        <w:t xml:space="preserve"> conductivity</w:t>
      </w:r>
      <w:r w:rsidR="003A34BD">
        <w:t xml:space="preserve"> measurement, the temperature of the water volume inside the conductivity cell </w:t>
      </w:r>
      <w:r w:rsidR="0030050E">
        <w:t>(</w:t>
      </w:r>
      <w:r w:rsidR="0030050E" w:rsidRPr="00EE447B">
        <w:rPr>
          <w:b/>
        </w:rPr>
        <w:t>SSJT</w:t>
      </w:r>
      <w:r w:rsidR="0030050E">
        <w:t xml:space="preserve">) </w:t>
      </w:r>
      <w:r w:rsidR="003A34BD">
        <w:t>must be known</w:t>
      </w:r>
      <w:r w:rsidR="0030050E">
        <w:t xml:space="preserve"> accurately. </w:t>
      </w:r>
    </w:p>
    <w:p w14:paraId="55307C98" w14:textId="08598D2B" w:rsidR="008B3A84" w:rsidRDefault="000C099A">
      <w:pPr>
        <w:pStyle w:val="Standard"/>
      </w:pPr>
      <w:r>
        <w:t xml:space="preserve">The variables measured with the </w:t>
      </w:r>
      <w:proofErr w:type="spellStart"/>
      <w:r>
        <w:t>thermosalinometer</w:t>
      </w:r>
      <w:proofErr w:type="spellEnd"/>
      <w:r>
        <w:t xml:space="preserve"> (TSG) system are summarised in the following table.</w:t>
      </w:r>
    </w:p>
    <w:tbl>
      <w:tblPr>
        <w:tblW w:w="0" w:type="auto"/>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10" w:type="dxa"/>
          <w:right w:w="10" w:type="dxa"/>
        </w:tblCellMar>
        <w:tblLook w:val="04A0" w:firstRow="1" w:lastRow="0" w:firstColumn="1" w:lastColumn="0" w:noHBand="0" w:noVBand="1"/>
      </w:tblPr>
      <w:tblGrid>
        <w:gridCol w:w="2067"/>
        <w:gridCol w:w="1816"/>
        <w:gridCol w:w="3453"/>
        <w:gridCol w:w="711"/>
      </w:tblGrid>
      <w:tr w:rsidR="008B3A84" w14:paraId="6CDE443D" w14:textId="77777777" w:rsidTr="009A212C">
        <w:tc>
          <w:tcPr>
            <w:tcW w:w="2067" w:type="dxa"/>
            <w:shd w:val="clear" w:color="auto" w:fill="auto"/>
            <w:tcMar>
              <w:top w:w="0" w:type="dxa"/>
              <w:left w:w="108" w:type="dxa"/>
              <w:bottom w:w="0" w:type="dxa"/>
              <w:right w:w="108" w:type="dxa"/>
            </w:tcMar>
          </w:tcPr>
          <w:p w14:paraId="4028B440" w14:textId="77777777" w:rsidR="008B3A84" w:rsidRDefault="000C099A">
            <w:pPr>
              <w:pStyle w:val="Corpsdetexte"/>
              <w:jc w:val="center"/>
            </w:pPr>
            <w:r>
              <w:t>Temperature variable</w:t>
            </w:r>
          </w:p>
        </w:tc>
        <w:tc>
          <w:tcPr>
            <w:tcW w:w="1816" w:type="dxa"/>
            <w:shd w:val="clear" w:color="auto" w:fill="auto"/>
            <w:tcMar>
              <w:top w:w="0" w:type="dxa"/>
              <w:left w:w="108" w:type="dxa"/>
              <w:bottom w:w="0" w:type="dxa"/>
              <w:right w:w="108" w:type="dxa"/>
            </w:tcMar>
          </w:tcPr>
          <w:p w14:paraId="7497DDB4" w14:textId="77777777" w:rsidR="008B3A84" w:rsidRDefault="000C099A">
            <w:pPr>
              <w:pStyle w:val="Corpsdetexte"/>
              <w:jc w:val="center"/>
            </w:pPr>
            <w:r>
              <w:t>Salinity variable</w:t>
            </w:r>
          </w:p>
        </w:tc>
        <w:tc>
          <w:tcPr>
            <w:tcW w:w="3453" w:type="dxa"/>
            <w:shd w:val="clear" w:color="auto" w:fill="auto"/>
            <w:tcMar>
              <w:top w:w="0" w:type="dxa"/>
              <w:left w:w="108" w:type="dxa"/>
              <w:bottom w:w="0" w:type="dxa"/>
              <w:right w:w="108" w:type="dxa"/>
            </w:tcMar>
          </w:tcPr>
          <w:p w14:paraId="01213629" w14:textId="77777777" w:rsidR="008B3A84" w:rsidRDefault="000C099A">
            <w:pPr>
              <w:pStyle w:val="Corpsdetexte"/>
              <w:jc w:val="center"/>
            </w:pPr>
            <w:r>
              <w:t>Location</w:t>
            </w:r>
          </w:p>
        </w:tc>
        <w:tc>
          <w:tcPr>
            <w:tcW w:w="711" w:type="dxa"/>
            <w:shd w:val="clear" w:color="auto" w:fill="auto"/>
            <w:tcMar>
              <w:top w:w="0" w:type="dxa"/>
              <w:left w:w="108" w:type="dxa"/>
              <w:bottom w:w="0" w:type="dxa"/>
              <w:right w:w="108" w:type="dxa"/>
            </w:tcMar>
          </w:tcPr>
          <w:p w14:paraId="7227686E" w14:textId="77777777" w:rsidR="008B3A84" w:rsidRDefault="000C099A">
            <w:pPr>
              <w:pStyle w:val="Corpsdetexte"/>
            </w:pPr>
            <w:r>
              <w:t>Flow</w:t>
            </w:r>
          </w:p>
        </w:tc>
      </w:tr>
      <w:tr w:rsidR="008B3A84" w14:paraId="4C264277" w14:textId="77777777" w:rsidTr="009A212C">
        <w:tc>
          <w:tcPr>
            <w:tcW w:w="2067" w:type="dxa"/>
            <w:shd w:val="clear" w:color="auto" w:fill="auto"/>
            <w:tcMar>
              <w:top w:w="0" w:type="dxa"/>
              <w:left w:w="108" w:type="dxa"/>
              <w:bottom w:w="0" w:type="dxa"/>
              <w:right w:w="108" w:type="dxa"/>
            </w:tcMar>
          </w:tcPr>
          <w:p w14:paraId="25ECBC57" w14:textId="77777777" w:rsidR="008B3A84" w:rsidRDefault="000C099A">
            <w:pPr>
              <w:pStyle w:val="Corpsdetexte"/>
              <w:jc w:val="center"/>
            </w:pPr>
            <w:r>
              <w:rPr>
                <w:i/>
              </w:rPr>
              <w:t>SST</w:t>
            </w:r>
          </w:p>
        </w:tc>
        <w:tc>
          <w:tcPr>
            <w:tcW w:w="1816" w:type="dxa"/>
            <w:shd w:val="clear" w:color="auto" w:fill="auto"/>
            <w:tcMar>
              <w:top w:w="0" w:type="dxa"/>
              <w:left w:w="108" w:type="dxa"/>
              <w:bottom w:w="0" w:type="dxa"/>
              <w:right w:w="108" w:type="dxa"/>
            </w:tcMar>
          </w:tcPr>
          <w:p w14:paraId="060229E7" w14:textId="77777777" w:rsidR="008B3A84" w:rsidRDefault="000C099A">
            <w:pPr>
              <w:pStyle w:val="Corpsdetexte"/>
              <w:jc w:val="center"/>
            </w:pPr>
            <w:r>
              <w:rPr>
                <w:i/>
              </w:rPr>
              <w:t>SSS</w:t>
            </w:r>
          </w:p>
        </w:tc>
        <w:tc>
          <w:tcPr>
            <w:tcW w:w="3453" w:type="dxa"/>
            <w:shd w:val="clear" w:color="auto" w:fill="auto"/>
            <w:tcMar>
              <w:top w:w="0" w:type="dxa"/>
              <w:left w:w="108" w:type="dxa"/>
              <w:bottom w:w="0" w:type="dxa"/>
              <w:right w:w="108" w:type="dxa"/>
            </w:tcMar>
          </w:tcPr>
          <w:p w14:paraId="1C0E43A9" w14:textId="77777777" w:rsidR="008B3A84" w:rsidRDefault="000C099A">
            <w:pPr>
              <w:pStyle w:val="Corpsdetexte"/>
              <w:jc w:val="center"/>
            </w:pPr>
            <w:r>
              <w:t>Ocean</w:t>
            </w:r>
          </w:p>
        </w:tc>
        <w:tc>
          <w:tcPr>
            <w:tcW w:w="711" w:type="dxa"/>
            <w:vMerge w:val="restart"/>
            <w:shd w:val="clear" w:color="auto" w:fill="auto"/>
            <w:tcMar>
              <w:top w:w="0" w:type="dxa"/>
              <w:left w:w="108" w:type="dxa"/>
              <w:bottom w:w="0" w:type="dxa"/>
              <w:right w:w="108" w:type="dxa"/>
            </w:tcMar>
          </w:tcPr>
          <w:p w14:paraId="6A465B78" w14:textId="77777777" w:rsidR="008B3A84" w:rsidRDefault="008B3A84">
            <w:pPr>
              <w:pStyle w:val="Corpsdetexte"/>
              <w:jc w:val="center"/>
            </w:pPr>
          </w:p>
          <w:p w14:paraId="283009D3" w14:textId="77777777" w:rsidR="008B3A84" w:rsidRDefault="000C099A">
            <w:pPr>
              <w:pStyle w:val="Corpsdetexte"/>
              <w:jc w:val="center"/>
            </w:pPr>
            <w:r>
              <w:rPr>
                <w:rFonts w:ascii="Wingdings" w:hAnsi="Wingdings"/>
              </w:rPr>
              <w:t></w:t>
            </w:r>
          </w:p>
          <w:p w14:paraId="55F5A776" w14:textId="77777777" w:rsidR="008B3A84" w:rsidRDefault="000C099A">
            <w:pPr>
              <w:pStyle w:val="Corpsdetexte"/>
              <w:jc w:val="center"/>
            </w:pPr>
            <w:r>
              <w:rPr>
                <w:rFonts w:ascii="Wingdings" w:hAnsi="Wingdings"/>
              </w:rPr>
              <w:t></w:t>
            </w:r>
          </w:p>
        </w:tc>
      </w:tr>
      <w:tr w:rsidR="008B3A84" w14:paraId="17F70FED" w14:textId="77777777" w:rsidTr="009A212C">
        <w:tc>
          <w:tcPr>
            <w:tcW w:w="2067" w:type="dxa"/>
            <w:shd w:val="clear" w:color="auto" w:fill="auto"/>
            <w:tcMar>
              <w:top w:w="0" w:type="dxa"/>
              <w:left w:w="108" w:type="dxa"/>
              <w:bottom w:w="0" w:type="dxa"/>
              <w:right w:w="108" w:type="dxa"/>
            </w:tcMar>
          </w:tcPr>
          <w:p w14:paraId="72D0BEF2" w14:textId="77777777" w:rsidR="008B3A84" w:rsidRDefault="000C099A">
            <w:pPr>
              <w:pStyle w:val="Corpsdetexte"/>
              <w:jc w:val="center"/>
            </w:pPr>
            <w:r>
              <w:rPr>
                <w:b/>
              </w:rPr>
              <w:t>SSTP</w:t>
            </w:r>
          </w:p>
        </w:tc>
        <w:tc>
          <w:tcPr>
            <w:tcW w:w="1816" w:type="dxa"/>
            <w:shd w:val="clear" w:color="auto" w:fill="auto"/>
            <w:tcMar>
              <w:top w:w="0" w:type="dxa"/>
              <w:left w:w="108" w:type="dxa"/>
              <w:bottom w:w="0" w:type="dxa"/>
              <w:right w:w="108" w:type="dxa"/>
            </w:tcMar>
          </w:tcPr>
          <w:p w14:paraId="4D3A4373" w14:textId="77777777" w:rsidR="008B3A84" w:rsidRDefault="008B3A84">
            <w:pPr>
              <w:pStyle w:val="Corpsdetexte"/>
              <w:jc w:val="center"/>
            </w:pPr>
          </w:p>
        </w:tc>
        <w:tc>
          <w:tcPr>
            <w:tcW w:w="3453" w:type="dxa"/>
            <w:shd w:val="clear" w:color="auto" w:fill="auto"/>
            <w:tcMar>
              <w:top w:w="0" w:type="dxa"/>
              <w:left w:w="108" w:type="dxa"/>
              <w:bottom w:w="0" w:type="dxa"/>
              <w:right w:w="108" w:type="dxa"/>
            </w:tcMar>
          </w:tcPr>
          <w:p w14:paraId="4F3A5E3B" w14:textId="77777777" w:rsidR="008B3A84" w:rsidRDefault="000C099A">
            <w:pPr>
              <w:pStyle w:val="Corpsdetexte"/>
              <w:jc w:val="center"/>
            </w:pPr>
            <w:r>
              <w:t>Ship Intake near the hull</w:t>
            </w:r>
          </w:p>
        </w:tc>
        <w:tc>
          <w:tcPr>
            <w:tcW w:w="711" w:type="dxa"/>
            <w:vMerge/>
            <w:shd w:val="clear" w:color="auto" w:fill="auto"/>
            <w:tcMar>
              <w:top w:w="0" w:type="dxa"/>
              <w:left w:w="108" w:type="dxa"/>
              <w:bottom w:w="0" w:type="dxa"/>
              <w:right w:w="108" w:type="dxa"/>
            </w:tcMar>
          </w:tcPr>
          <w:p w14:paraId="0D3DD3E7" w14:textId="77777777" w:rsidR="008B3A84" w:rsidRDefault="008B3A84">
            <w:pPr>
              <w:pStyle w:val="Corpsdetexte"/>
            </w:pPr>
          </w:p>
        </w:tc>
      </w:tr>
      <w:tr w:rsidR="008B3A84" w14:paraId="20C49106" w14:textId="77777777" w:rsidTr="009A212C">
        <w:tc>
          <w:tcPr>
            <w:tcW w:w="2067" w:type="dxa"/>
            <w:shd w:val="clear" w:color="auto" w:fill="auto"/>
            <w:tcMar>
              <w:top w:w="0" w:type="dxa"/>
              <w:left w:w="108" w:type="dxa"/>
              <w:bottom w:w="0" w:type="dxa"/>
              <w:right w:w="108" w:type="dxa"/>
            </w:tcMar>
          </w:tcPr>
          <w:p w14:paraId="7C2AA3C0" w14:textId="77777777" w:rsidR="008B3A84" w:rsidRDefault="000C099A">
            <w:pPr>
              <w:pStyle w:val="Corpsdetexte"/>
              <w:jc w:val="center"/>
            </w:pPr>
            <w:r>
              <w:rPr>
                <w:b/>
              </w:rPr>
              <w:t>SSJT</w:t>
            </w:r>
          </w:p>
        </w:tc>
        <w:tc>
          <w:tcPr>
            <w:tcW w:w="1816" w:type="dxa"/>
            <w:shd w:val="clear" w:color="auto" w:fill="auto"/>
            <w:tcMar>
              <w:top w:w="0" w:type="dxa"/>
              <w:left w:w="108" w:type="dxa"/>
              <w:bottom w:w="0" w:type="dxa"/>
              <w:right w:w="108" w:type="dxa"/>
            </w:tcMar>
          </w:tcPr>
          <w:p w14:paraId="0AD906D9" w14:textId="77777777" w:rsidR="008B3A84" w:rsidRDefault="000C099A">
            <w:pPr>
              <w:pStyle w:val="Corpsdetexte"/>
              <w:jc w:val="center"/>
            </w:pPr>
            <w:r>
              <w:rPr>
                <w:b/>
              </w:rPr>
              <w:t>SSPS</w:t>
            </w:r>
          </w:p>
        </w:tc>
        <w:tc>
          <w:tcPr>
            <w:tcW w:w="3453" w:type="dxa"/>
            <w:shd w:val="clear" w:color="auto" w:fill="auto"/>
            <w:tcMar>
              <w:top w:w="0" w:type="dxa"/>
              <w:left w:w="108" w:type="dxa"/>
              <w:bottom w:w="0" w:type="dxa"/>
              <w:right w:w="108" w:type="dxa"/>
            </w:tcMar>
          </w:tcPr>
          <w:p w14:paraId="42E85D51" w14:textId="56B72F92" w:rsidR="008B3A84" w:rsidRDefault="000C099A">
            <w:pPr>
              <w:pStyle w:val="Corpsdetexte"/>
              <w:jc w:val="center"/>
            </w:pPr>
            <w:r>
              <w:t>TSG, inside the ship</w:t>
            </w:r>
          </w:p>
        </w:tc>
        <w:tc>
          <w:tcPr>
            <w:tcW w:w="711" w:type="dxa"/>
            <w:vMerge/>
            <w:shd w:val="clear" w:color="auto" w:fill="auto"/>
            <w:tcMar>
              <w:top w:w="0" w:type="dxa"/>
              <w:left w:w="108" w:type="dxa"/>
              <w:bottom w:w="0" w:type="dxa"/>
              <w:right w:w="108" w:type="dxa"/>
            </w:tcMar>
          </w:tcPr>
          <w:p w14:paraId="6750C5E3" w14:textId="77777777" w:rsidR="008B3A84" w:rsidRDefault="008B3A84">
            <w:pPr>
              <w:pStyle w:val="Corpsdetexte"/>
            </w:pPr>
          </w:p>
        </w:tc>
      </w:tr>
    </w:tbl>
    <w:p w14:paraId="2FFC5AD0" w14:textId="6315F806" w:rsidR="008B3A84" w:rsidRPr="001A7B22" w:rsidRDefault="000C099A" w:rsidP="001A7B22">
      <w:pPr>
        <w:rPr>
          <w:rFonts w:asciiTheme="minorHAnsi" w:hAnsiTheme="minorHAnsi"/>
        </w:rPr>
      </w:pPr>
      <w:r w:rsidRPr="001A7B22">
        <w:rPr>
          <w:rFonts w:asciiTheme="minorHAnsi" w:hAnsiTheme="minorHAnsi"/>
        </w:rPr>
        <w:t>Variables measu</w:t>
      </w:r>
      <w:r w:rsidR="00A31FFF" w:rsidRPr="001A7B22">
        <w:rPr>
          <w:rFonts w:asciiTheme="minorHAnsi" w:hAnsiTheme="minorHAnsi"/>
        </w:rPr>
        <w:t>red with the thermo-</w:t>
      </w:r>
      <w:proofErr w:type="spellStart"/>
      <w:r w:rsidR="00A31FFF" w:rsidRPr="001A7B22">
        <w:rPr>
          <w:rFonts w:asciiTheme="minorHAnsi" w:hAnsiTheme="minorHAnsi"/>
        </w:rPr>
        <w:t>salinometer</w:t>
      </w:r>
      <w:proofErr w:type="spellEnd"/>
      <w:r w:rsidRPr="001A7B22">
        <w:rPr>
          <w:rFonts w:asciiTheme="minorHAnsi" w:hAnsiTheme="minorHAnsi"/>
        </w:rPr>
        <w:t xml:space="preserve"> (in bold),  in order to approach the Ocean Sea Surface Temperature (SST) and Salinity (SSS).</w:t>
      </w:r>
    </w:p>
    <w:p w14:paraId="7F34A9E9" w14:textId="45D815F9" w:rsidR="008B3A84" w:rsidRDefault="000C099A">
      <w:pPr>
        <w:pStyle w:val="Paragraphedeliste"/>
        <w:numPr>
          <w:ilvl w:val="0"/>
          <w:numId w:val="2"/>
        </w:numPr>
        <w:spacing w:before="120" w:after="120"/>
      </w:pPr>
      <w:r>
        <w:t>Sea Surface Temperature (SSTP) is the temperature of the seawater at the water intake, located at a depth between 2 and 10 m</w:t>
      </w:r>
      <w:bookmarkStart w:id="0" w:name="_GoBack"/>
      <w:bookmarkEnd w:id="0"/>
      <w:r>
        <w:t xml:space="preserve"> depending on the ship and its load. When the water is pumped inside the ship, it represents the temperature of the oceanic surface layer that is mixed by the ship displacement.  When the seacock is closed, or the pump stopped, it gives the temperature of the water volume trapped close to the temperature sensor.</w:t>
      </w:r>
    </w:p>
    <w:p w14:paraId="2267535F" w14:textId="0DCFC202" w:rsidR="008B3A84" w:rsidRDefault="000C099A">
      <w:pPr>
        <w:pStyle w:val="Paragraphedeliste"/>
        <w:numPr>
          <w:ilvl w:val="0"/>
          <w:numId w:val="2"/>
        </w:numPr>
        <w:spacing w:before="120" w:after="120"/>
      </w:pPr>
      <w:r>
        <w:t>Sea Surface Jacket Temperature (SSJT) is the temperature of the water volume inside the TSG. SSJT is used to deduce salinity from the conductivity measurement. It may differ from SSTP because of heat exchange on the way to the TSG and in the TSG room. The temperature change on the way depends on the flow rate, on the pipe characteristics and on the temperature difference between the seawater and the ambient temperature.</w:t>
      </w:r>
    </w:p>
    <w:p w14:paraId="70F62393" w14:textId="7B5F69DB" w:rsidR="008B3A84" w:rsidRDefault="000C099A">
      <w:pPr>
        <w:pStyle w:val="Paragraphedeliste"/>
        <w:numPr>
          <w:ilvl w:val="0"/>
          <w:numId w:val="2"/>
        </w:numPr>
        <w:spacing w:before="120" w:after="120"/>
      </w:pPr>
      <w:r>
        <w:t>Sea Surface Practical Salinity (SSPS) is the salinity of the water inside the TSG deduced from the conductivity measurement, and SSJT. When the flow rate is sufficient, SSPS represents the salinity of the oceanic surface layer that is mixed by the ship displacement. When the seacock is closed, or the pump stopped, it is the salinity of the water volume trapped in the TSG.</w:t>
      </w:r>
    </w:p>
    <w:p w14:paraId="2DBFA3DB" w14:textId="77777777" w:rsidR="008B3A84" w:rsidRDefault="000C099A">
      <w:pPr>
        <w:pStyle w:val="Titre2"/>
      </w:pPr>
      <w:r>
        <w:lastRenderedPageBreak/>
        <w:t>Applying quality control flags</w:t>
      </w:r>
    </w:p>
    <w:p w14:paraId="2BFDE04D" w14:textId="40F753AA" w:rsidR="008B3A84" w:rsidRDefault="000C099A">
      <w:pPr>
        <w:pStyle w:val="Standard"/>
      </w:pPr>
      <w:r>
        <w:t xml:space="preserve">Attribution of QC-flags is done </w:t>
      </w:r>
      <w:r w:rsidR="00561C6D">
        <w:t>using</w:t>
      </w:r>
      <w:r>
        <w:t xml:space="preserve"> dedicated </w:t>
      </w:r>
      <w:proofErr w:type="spellStart"/>
      <w:r>
        <w:t>software</w:t>
      </w:r>
      <w:r w:rsidR="00E021FA">
        <w:t>s</w:t>
      </w:r>
      <w:proofErr w:type="spellEnd"/>
      <w:r>
        <w:t xml:space="preserve"> that allow visual inspection of ship trajectory, measurement time series and their comparison with SSS and SST </w:t>
      </w:r>
      <w:proofErr w:type="spellStart"/>
      <w:r>
        <w:t>climatologies</w:t>
      </w:r>
      <w:proofErr w:type="spellEnd"/>
      <w:r>
        <w:t xml:space="preserve">. Potential problems of the acquisition system observed on board or experienced and diagnosed in the past are also taken into account. </w:t>
      </w:r>
    </w:p>
    <w:p w14:paraId="4592B859" w14:textId="77777777" w:rsidR="008B3A84" w:rsidRDefault="000C099A">
      <w:pPr>
        <w:pStyle w:val="Standard"/>
      </w:pPr>
      <w:r>
        <w:t>Unqualified data have a quality control flag (QC-flag) value set to 0.</w:t>
      </w:r>
    </w:p>
    <w:p w14:paraId="28B70806" w14:textId="77777777" w:rsidR="008B3A84" w:rsidRDefault="000C099A">
      <w:pPr>
        <w:pStyle w:val="Standard"/>
      </w:pPr>
      <w:r>
        <w:t xml:space="preserve">Data considered of good quality, </w:t>
      </w:r>
      <w:bookmarkStart w:id="1" w:name="__DdeLink__4106_252120080"/>
      <w:r>
        <w:t>consistent with regional climatological ranges</w:t>
      </w:r>
      <w:bookmarkEnd w:id="1"/>
      <w:r>
        <w:t>, even though they may need adjustment, have a QC-flag value set to 1.</w:t>
      </w:r>
    </w:p>
    <w:p w14:paraId="10BB91EB" w14:textId="166CFBDC" w:rsidR="008B3A84" w:rsidRDefault="000C099A">
      <w:pPr>
        <w:pStyle w:val="Standard"/>
      </w:pPr>
      <w:r>
        <w:t>Several identified cases may lead to data outside of climatological ranges. Other values of the QC-flag are then applied:</w:t>
      </w:r>
    </w:p>
    <w:p w14:paraId="06D99FA5" w14:textId="7A2C63A1" w:rsidR="008B3A84" w:rsidRDefault="000C099A">
      <w:pPr>
        <w:pStyle w:val="Puce2"/>
      </w:pPr>
      <w:r>
        <w:rPr>
          <w:b/>
        </w:rPr>
        <w:t>Problems on the water flow</w:t>
      </w:r>
      <w:r>
        <w:t>: When the flow on the conductivity cell is insufficient, due to seacock/valve closure</w:t>
      </w:r>
      <w:proofErr w:type="gramStart"/>
      <w:r>
        <w:t>, ,</w:t>
      </w:r>
      <w:proofErr w:type="gramEnd"/>
      <w:r>
        <w:t xml:space="preserve"> the corresponding</w:t>
      </w:r>
      <w:r>
        <w:rPr>
          <w:b/>
        </w:rPr>
        <w:t xml:space="preserve"> SSPS QC-flag values are set to 4 (bad data)</w:t>
      </w:r>
      <w:r>
        <w:t xml:space="preserve">. These events are characterized by an increasingly large difference (up to several °C) between SSTP and SSJT, and values of SSPS that remain nearly constant. The standard criterion used </w:t>
      </w:r>
      <w:r w:rsidR="00677188">
        <w:t xml:space="preserve">to detect </w:t>
      </w:r>
      <w:r w:rsidR="00305DCC">
        <w:t xml:space="preserve">an anomaly is </w:t>
      </w:r>
      <w:proofErr w:type="gramStart"/>
      <w:r w:rsidR="00305DCC">
        <w:t>a</w:t>
      </w:r>
      <w:proofErr w:type="gramEnd"/>
      <w:r w:rsidR="00305DCC">
        <w:t xml:space="preserve"> SSTP-SSJT difference over</w:t>
      </w:r>
      <w:r>
        <w:t xml:space="preserve"> 0.2 °C, but it may vary with the ship and the area. In rare cases generally due to pipe clogging, the flow might be detected as slightly insufficient and the QC-flag value is set to 3. Installing </w:t>
      </w:r>
      <w:proofErr w:type="gramStart"/>
      <w:r>
        <w:t>flow-meters</w:t>
      </w:r>
      <w:proofErr w:type="gramEnd"/>
      <w:r>
        <w:t xml:space="preserve"> on the ships allows to obtain a direct measure of the flow rate and to define an objective criterion based on a threshold value. </w:t>
      </w:r>
    </w:p>
    <w:p w14:paraId="65CE240D" w14:textId="00633033" w:rsidR="008B3A84" w:rsidRDefault="000C099A">
      <w:pPr>
        <w:pStyle w:val="Puce2"/>
      </w:pPr>
      <w:r>
        <w:rPr>
          <w:b/>
        </w:rPr>
        <w:t>Air bubbles</w:t>
      </w:r>
      <w:r>
        <w:t xml:space="preserve">:  During severe sea state conditions, air bubbles reach the conductivity cell, inducing a drop of the measured conductivity. The SSPS reported by the TSG decreases accordingly, to a slightly underestimated value (of the order of 0.1) when only small bubbles are present or to several PSS, in the case of stronger waves. The normal SSPS value is recovered within a few minutes, the frequency of these events depends on the sea state. In that case, </w:t>
      </w:r>
      <w:r>
        <w:rPr>
          <w:b/>
        </w:rPr>
        <w:t>SSPS QC-flag values are set to 2, 3 or 4</w:t>
      </w:r>
      <w:r>
        <w:t>, depending on the magnitude of the salinity decrease. The effect of air bubbles on the full resolution data is illustrated in Figure 2.</w:t>
      </w:r>
    </w:p>
    <w:p w14:paraId="3049FFE2" w14:textId="783CCE72" w:rsidR="008B3A84" w:rsidRDefault="000C099A">
      <w:pPr>
        <w:pStyle w:val="Puce2"/>
      </w:pPr>
      <w:r>
        <w:rPr>
          <w:b/>
        </w:rPr>
        <w:t>Shells in the conductivity cell</w:t>
      </w:r>
      <w:r>
        <w:t xml:space="preserve">: It may happen that shells or other solid matter get trapped inside the conductivity cell, inducing erroneous conductivity measurement with salinity drops by several PSS or tenths of PSS, a step-like recovery occurs as the debris change position within the conductivity cell or are flushed out. In that case, </w:t>
      </w:r>
      <w:r>
        <w:rPr>
          <w:b/>
        </w:rPr>
        <w:t>SSPS QC-flag values are set to 4.</w:t>
      </w:r>
    </w:p>
    <w:p w14:paraId="21EA4FEE" w14:textId="77777777" w:rsidR="008B3A84" w:rsidRDefault="000C099A">
      <w:pPr>
        <w:pStyle w:val="Puce2"/>
      </w:pPr>
      <w:r>
        <w:rPr>
          <w:b/>
        </w:rPr>
        <w:t>Electronic failure</w:t>
      </w:r>
      <w:r>
        <w:rPr>
          <w:b/>
          <w:bCs/>
        </w:rPr>
        <w:t>:</w:t>
      </w:r>
      <w:r>
        <w:t xml:space="preserve"> It may happen that the TSG has an electronic failure, inducing very noisy data and/or unrealistic SSPS values. The TSG is then as soon as possible dismantled and tested in the laboratory, which can confirm the problem. In that case, </w:t>
      </w:r>
      <w:r>
        <w:rPr>
          <w:b/>
        </w:rPr>
        <w:t>SSPS QC-flag values are set to 4.</w:t>
      </w:r>
    </w:p>
    <w:p w14:paraId="3509143C" w14:textId="2E3BC43A" w:rsidR="008B3A84" w:rsidRDefault="000C099A">
      <w:pPr>
        <w:pStyle w:val="Puce2"/>
      </w:pPr>
      <w:r>
        <w:t xml:space="preserve">Harbour: Measurements taken in the harbour or estuaries are difficult to qualify because of the high variability due to tides and river runoffs. </w:t>
      </w:r>
      <w:proofErr w:type="gramStart"/>
      <w:r>
        <w:t>Those data should be looked at by experts with knowledge of the local conditions</w:t>
      </w:r>
      <w:proofErr w:type="gramEnd"/>
      <w:r>
        <w:t xml:space="preserve">. The corresponding </w:t>
      </w:r>
      <w:r>
        <w:rPr>
          <w:b/>
        </w:rPr>
        <w:t>SSTP and SSPS QC-flag values are set to 6.</w:t>
      </w:r>
    </w:p>
    <w:p w14:paraId="3301EEEB" w14:textId="77777777" w:rsidR="00E021FA" w:rsidRDefault="00E021FA" w:rsidP="00F06DBE">
      <w:pPr>
        <w:pStyle w:val="Standard"/>
        <w:jc w:val="center"/>
      </w:pPr>
      <w:r>
        <w:rPr>
          <w:noProof/>
          <w:lang w:val="fr-FR" w:eastAsia="fr-FR"/>
        </w:rPr>
        <w:lastRenderedPageBreak/>
        <w:drawing>
          <wp:inline distT="0" distB="0" distL="0" distR="0" wp14:anchorId="6C376FD5" wp14:editId="25CA1CA4">
            <wp:extent cx="3733800" cy="2628900"/>
            <wp:effectExtent l="0" t="0" r="0" b="0"/>
            <wp:docPr id="1" name="Picture" descr="A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A description..."/>
                    <pic:cNvPicPr>
                      <a:picLocks noChangeAspect="1" noChangeArrowheads="1"/>
                    </pic:cNvPicPr>
                  </pic:nvPicPr>
                  <pic:blipFill>
                    <a:blip r:embed="rId8"/>
                    <a:srcRect/>
                    <a:stretch>
                      <a:fillRect/>
                    </a:stretch>
                  </pic:blipFill>
                  <pic:spPr bwMode="auto">
                    <a:xfrm>
                      <a:off x="0" y="0"/>
                      <a:ext cx="3733800" cy="2628900"/>
                    </a:xfrm>
                    <a:prstGeom prst="rect">
                      <a:avLst/>
                    </a:prstGeom>
                    <a:noFill/>
                    <a:ln w="9525">
                      <a:noFill/>
                      <a:miter lim="800000"/>
                      <a:headEnd/>
                      <a:tailEnd/>
                    </a:ln>
                  </pic:spPr>
                </pic:pic>
              </a:graphicData>
            </a:graphic>
          </wp:inline>
        </w:drawing>
      </w:r>
    </w:p>
    <w:p w14:paraId="496B1022" w14:textId="27C3CCC6" w:rsidR="00E021FA" w:rsidRDefault="00E021FA" w:rsidP="00F06DBE">
      <w:pPr>
        <w:pStyle w:val="Standard"/>
        <w:jc w:val="center"/>
      </w:pPr>
      <w:r>
        <w:t>Example of the effect of air bubbles due to waves on the salinity measurement.</w:t>
      </w:r>
    </w:p>
    <w:p w14:paraId="385A132B" w14:textId="77777777" w:rsidR="008B3A84" w:rsidRDefault="008B3A84">
      <w:pPr>
        <w:pStyle w:val="Standard"/>
      </w:pPr>
    </w:p>
    <w:tbl>
      <w:tblPr>
        <w:tblW w:w="0" w:type="auto"/>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10" w:type="dxa"/>
          <w:right w:w="10" w:type="dxa"/>
        </w:tblCellMar>
        <w:tblLook w:val="04A0" w:firstRow="1" w:lastRow="0" w:firstColumn="1" w:lastColumn="0" w:noHBand="0" w:noVBand="1"/>
      </w:tblPr>
      <w:tblGrid>
        <w:gridCol w:w="769"/>
        <w:gridCol w:w="2708"/>
        <w:gridCol w:w="5609"/>
      </w:tblGrid>
      <w:tr w:rsidR="008B3A84" w14:paraId="03E46314" w14:textId="77777777" w:rsidTr="009A212C">
        <w:tc>
          <w:tcPr>
            <w:tcW w:w="769" w:type="dxa"/>
            <w:shd w:val="clear" w:color="auto" w:fill="auto"/>
            <w:tcMar>
              <w:top w:w="0" w:type="dxa"/>
              <w:left w:w="108" w:type="dxa"/>
              <w:bottom w:w="0" w:type="dxa"/>
              <w:right w:w="108" w:type="dxa"/>
            </w:tcMar>
            <w:vAlign w:val="center"/>
          </w:tcPr>
          <w:p w14:paraId="729E3C7F" w14:textId="77777777" w:rsidR="008B3A84" w:rsidRDefault="000C099A" w:rsidP="0050305F">
            <w:pPr>
              <w:pStyle w:val="Standard"/>
              <w:spacing w:after="120"/>
            </w:pPr>
            <w:r>
              <w:rPr>
                <w:bCs/>
              </w:rPr>
              <w:t>QC value</w:t>
            </w:r>
          </w:p>
        </w:tc>
        <w:tc>
          <w:tcPr>
            <w:tcW w:w="2708" w:type="dxa"/>
            <w:shd w:val="clear" w:color="auto" w:fill="auto"/>
            <w:tcMar>
              <w:top w:w="0" w:type="dxa"/>
              <w:left w:w="108" w:type="dxa"/>
              <w:bottom w:w="0" w:type="dxa"/>
              <w:right w:w="108" w:type="dxa"/>
            </w:tcMar>
            <w:vAlign w:val="center"/>
          </w:tcPr>
          <w:p w14:paraId="3B83D936" w14:textId="77777777" w:rsidR="008B3A84" w:rsidRDefault="000C099A" w:rsidP="0050305F">
            <w:pPr>
              <w:pStyle w:val="Standard"/>
              <w:spacing w:after="120"/>
            </w:pPr>
            <w:r>
              <w:t>QC definition</w:t>
            </w:r>
          </w:p>
        </w:tc>
        <w:tc>
          <w:tcPr>
            <w:tcW w:w="5609" w:type="dxa"/>
            <w:shd w:val="clear" w:color="auto" w:fill="auto"/>
            <w:tcMar>
              <w:top w:w="0" w:type="dxa"/>
              <w:left w:w="108" w:type="dxa"/>
              <w:bottom w:w="0" w:type="dxa"/>
              <w:right w:w="108" w:type="dxa"/>
            </w:tcMar>
          </w:tcPr>
          <w:p w14:paraId="4C30B6DF" w14:textId="77777777" w:rsidR="008B3A84" w:rsidRDefault="000C099A" w:rsidP="0050305F">
            <w:pPr>
              <w:pStyle w:val="Standard"/>
              <w:spacing w:after="120"/>
            </w:pPr>
            <w:r>
              <w:t>Cases when it is applied</w:t>
            </w:r>
          </w:p>
        </w:tc>
      </w:tr>
      <w:tr w:rsidR="008B3A84" w14:paraId="7DB13EC7" w14:textId="77777777" w:rsidTr="009A212C">
        <w:tc>
          <w:tcPr>
            <w:tcW w:w="769" w:type="dxa"/>
            <w:shd w:val="clear" w:color="auto" w:fill="auto"/>
            <w:tcMar>
              <w:top w:w="0" w:type="dxa"/>
              <w:left w:w="108" w:type="dxa"/>
              <w:bottom w:w="0" w:type="dxa"/>
              <w:right w:w="108" w:type="dxa"/>
            </w:tcMar>
            <w:vAlign w:val="center"/>
          </w:tcPr>
          <w:p w14:paraId="6BB9B67A" w14:textId="77777777" w:rsidR="008B3A84" w:rsidRDefault="000C099A" w:rsidP="0050305F">
            <w:pPr>
              <w:pStyle w:val="Standard"/>
              <w:spacing w:after="120"/>
            </w:pPr>
            <w:r>
              <w:rPr>
                <w:bCs/>
              </w:rPr>
              <w:t xml:space="preserve">0 </w:t>
            </w:r>
          </w:p>
        </w:tc>
        <w:tc>
          <w:tcPr>
            <w:tcW w:w="2708" w:type="dxa"/>
            <w:shd w:val="clear" w:color="auto" w:fill="auto"/>
            <w:tcMar>
              <w:top w:w="0" w:type="dxa"/>
              <w:left w:w="108" w:type="dxa"/>
              <w:bottom w:w="0" w:type="dxa"/>
              <w:right w:w="108" w:type="dxa"/>
            </w:tcMar>
            <w:vAlign w:val="center"/>
          </w:tcPr>
          <w:p w14:paraId="4E9A59B6" w14:textId="77777777" w:rsidR="008B3A84" w:rsidRDefault="000C099A" w:rsidP="0050305F">
            <w:pPr>
              <w:pStyle w:val="Standard"/>
              <w:spacing w:after="120"/>
            </w:pPr>
            <w:r>
              <w:t xml:space="preserve">No QC was performed </w:t>
            </w:r>
          </w:p>
        </w:tc>
        <w:tc>
          <w:tcPr>
            <w:tcW w:w="5609" w:type="dxa"/>
            <w:shd w:val="clear" w:color="auto" w:fill="auto"/>
            <w:tcMar>
              <w:top w:w="0" w:type="dxa"/>
              <w:left w:w="108" w:type="dxa"/>
              <w:bottom w:w="0" w:type="dxa"/>
              <w:right w:w="108" w:type="dxa"/>
            </w:tcMar>
          </w:tcPr>
          <w:p w14:paraId="12706A78" w14:textId="77777777" w:rsidR="008B3A84" w:rsidRDefault="008B3A84" w:rsidP="0050305F">
            <w:pPr>
              <w:pStyle w:val="Standard"/>
              <w:spacing w:after="120"/>
            </w:pPr>
          </w:p>
        </w:tc>
      </w:tr>
      <w:tr w:rsidR="008B3A84" w14:paraId="0F3BFAD0" w14:textId="77777777" w:rsidTr="009A212C">
        <w:tc>
          <w:tcPr>
            <w:tcW w:w="769" w:type="dxa"/>
            <w:shd w:val="clear" w:color="auto" w:fill="auto"/>
            <w:tcMar>
              <w:top w:w="0" w:type="dxa"/>
              <w:left w:w="108" w:type="dxa"/>
              <w:bottom w:w="0" w:type="dxa"/>
              <w:right w:w="108" w:type="dxa"/>
            </w:tcMar>
            <w:vAlign w:val="center"/>
          </w:tcPr>
          <w:p w14:paraId="13C2598C" w14:textId="77777777" w:rsidR="008B3A84" w:rsidRDefault="000C099A" w:rsidP="0050305F">
            <w:pPr>
              <w:pStyle w:val="Standard"/>
              <w:spacing w:after="120"/>
            </w:pPr>
            <w:r>
              <w:rPr>
                <w:bCs/>
              </w:rPr>
              <w:t xml:space="preserve">1 </w:t>
            </w:r>
          </w:p>
        </w:tc>
        <w:tc>
          <w:tcPr>
            <w:tcW w:w="2708" w:type="dxa"/>
            <w:shd w:val="clear" w:color="auto" w:fill="auto"/>
            <w:tcMar>
              <w:top w:w="0" w:type="dxa"/>
              <w:left w:w="108" w:type="dxa"/>
              <w:bottom w:w="0" w:type="dxa"/>
              <w:right w:w="108" w:type="dxa"/>
            </w:tcMar>
            <w:vAlign w:val="center"/>
          </w:tcPr>
          <w:p w14:paraId="21F21013" w14:textId="77777777" w:rsidR="008B3A84" w:rsidRDefault="000C099A" w:rsidP="0050305F">
            <w:pPr>
              <w:pStyle w:val="Standard"/>
              <w:spacing w:after="120"/>
            </w:pPr>
            <w:r>
              <w:t xml:space="preserve">Good data </w:t>
            </w:r>
          </w:p>
        </w:tc>
        <w:tc>
          <w:tcPr>
            <w:tcW w:w="5609" w:type="dxa"/>
            <w:shd w:val="clear" w:color="auto" w:fill="auto"/>
            <w:tcMar>
              <w:top w:w="0" w:type="dxa"/>
              <w:left w:w="108" w:type="dxa"/>
              <w:bottom w:w="0" w:type="dxa"/>
              <w:right w:w="108" w:type="dxa"/>
            </w:tcMar>
          </w:tcPr>
          <w:p w14:paraId="5E5F75ED" w14:textId="77777777" w:rsidR="008B3A84" w:rsidRDefault="000C099A" w:rsidP="0050305F">
            <w:pPr>
              <w:pStyle w:val="Standard"/>
              <w:spacing w:after="120"/>
            </w:pPr>
            <w:r>
              <w:t>Data consistent with regional climatological ranges</w:t>
            </w:r>
          </w:p>
        </w:tc>
      </w:tr>
      <w:tr w:rsidR="008B3A84" w14:paraId="1EA0D5E7" w14:textId="77777777" w:rsidTr="009A212C">
        <w:tc>
          <w:tcPr>
            <w:tcW w:w="769" w:type="dxa"/>
            <w:shd w:val="clear" w:color="auto" w:fill="auto"/>
            <w:tcMar>
              <w:top w:w="0" w:type="dxa"/>
              <w:left w:w="108" w:type="dxa"/>
              <w:bottom w:w="0" w:type="dxa"/>
              <w:right w:w="108" w:type="dxa"/>
            </w:tcMar>
            <w:vAlign w:val="center"/>
          </w:tcPr>
          <w:p w14:paraId="0B11BEC1" w14:textId="77777777" w:rsidR="008B3A84" w:rsidRDefault="000C099A" w:rsidP="0050305F">
            <w:pPr>
              <w:pStyle w:val="Standard"/>
              <w:spacing w:after="120"/>
            </w:pPr>
            <w:r>
              <w:rPr>
                <w:bCs/>
              </w:rPr>
              <w:t xml:space="preserve">2 </w:t>
            </w:r>
          </w:p>
        </w:tc>
        <w:tc>
          <w:tcPr>
            <w:tcW w:w="2708" w:type="dxa"/>
            <w:shd w:val="clear" w:color="auto" w:fill="auto"/>
            <w:tcMar>
              <w:top w:w="0" w:type="dxa"/>
              <w:left w:w="108" w:type="dxa"/>
              <w:bottom w:w="0" w:type="dxa"/>
              <w:right w:w="108" w:type="dxa"/>
            </w:tcMar>
            <w:vAlign w:val="center"/>
          </w:tcPr>
          <w:p w14:paraId="42CFA6A3" w14:textId="77777777" w:rsidR="008B3A84" w:rsidRDefault="000C099A" w:rsidP="0050305F">
            <w:pPr>
              <w:pStyle w:val="Standard"/>
              <w:spacing w:after="120"/>
            </w:pPr>
            <w:r>
              <w:t>Probably good data</w:t>
            </w:r>
          </w:p>
        </w:tc>
        <w:tc>
          <w:tcPr>
            <w:tcW w:w="5609" w:type="dxa"/>
            <w:shd w:val="clear" w:color="auto" w:fill="auto"/>
            <w:tcMar>
              <w:top w:w="0" w:type="dxa"/>
              <w:left w:w="108" w:type="dxa"/>
              <w:bottom w:w="0" w:type="dxa"/>
              <w:right w:w="108" w:type="dxa"/>
            </w:tcMar>
          </w:tcPr>
          <w:p w14:paraId="3338A1B8" w14:textId="77777777" w:rsidR="008B3A84" w:rsidRDefault="000C099A" w:rsidP="0050305F">
            <w:pPr>
              <w:pStyle w:val="Standard"/>
              <w:spacing w:after="120"/>
            </w:pPr>
            <w:r>
              <w:t>Small amounts of air bubble may lead to slightly under estimate the salinity</w:t>
            </w:r>
          </w:p>
        </w:tc>
      </w:tr>
      <w:tr w:rsidR="008B3A84" w14:paraId="7E6DD0B6" w14:textId="77777777" w:rsidTr="009A212C">
        <w:tc>
          <w:tcPr>
            <w:tcW w:w="769" w:type="dxa"/>
            <w:shd w:val="clear" w:color="auto" w:fill="auto"/>
            <w:tcMar>
              <w:top w:w="0" w:type="dxa"/>
              <w:left w:w="108" w:type="dxa"/>
              <w:bottom w:w="0" w:type="dxa"/>
              <w:right w:w="108" w:type="dxa"/>
            </w:tcMar>
            <w:vAlign w:val="center"/>
          </w:tcPr>
          <w:p w14:paraId="1B3AD264" w14:textId="77777777" w:rsidR="008B3A84" w:rsidRDefault="000C099A" w:rsidP="0050305F">
            <w:pPr>
              <w:pStyle w:val="Standard"/>
              <w:spacing w:after="120"/>
            </w:pPr>
            <w:r>
              <w:rPr>
                <w:bCs/>
              </w:rPr>
              <w:t xml:space="preserve">3 </w:t>
            </w:r>
          </w:p>
        </w:tc>
        <w:tc>
          <w:tcPr>
            <w:tcW w:w="2708" w:type="dxa"/>
            <w:shd w:val="clear" w:color="auto" w:fill="auto"/>
            <w:tcMar>
              <w:top w:w="0" w:type="dxa"/>
              <w:left w:w="108" w:type="dxa"/>
              <w:bottom w:w="0" w:type="dxa"/>
              <w:right w:w="108" w:type="dxa"/>
            </w:tcMar>
            <w:vAlign w:val="center"/>
          </w:tcPr>
          <w:p w14:paraId="3AA60724" w14:textId="77777777" w:rsidR="008B3A84" w:rsidRDefault="000C099A" w:rsidP="0050305F">
            <w:pPr>
              <w:spacing w:after="120"/>
            </w:pPr>
            <w:proofErr w:type="spellStart"/>
            <w:r>
              <w:rPr>
                <w:rFonts w:ascii="Cambria" w:hAnsi="Cambria"/>
              </w:rPr>
              <w:t>Probably</w:t>
            </w:r>
            <w:proofErr w:type="spellEnd"/>
            <w:r>
              <w:rPr>
                <w:rFonts w:ascii="Cambria" w:hAnsi="Cambria"/>
              </w:rPr>
              <w:t xml:space="preserve"> </w:t>
            </w:r>
            <w:proofErr w:type="spellStart"/>
            <w:r>
              <w:rPr>
                <w:rFonts w:ascii="Cambria" w:hAnsi="Cambria"/>
              </w:rPr>
              <w:t>bad</w:t>
            </w:r>
            <w:proofErr w:type="spellEnd"/>
            <w:r>
              <w:rPr>
                <w:rFonts w:ascii="Cambria" w:hAnsi="Cambria"/>
              </w:rPr>
              <w:t xml:space="preserve"> data </w:t>
            </w:r>
          </w:p>
        </w:tc>
        <w:tc>
          <w:tcPr>
            <w:tcW w:w="5609" w:type="dxa"/>
            <w:shd w:val="clear" w:color="auto" w:fill="auto"/>
            <w:tcMar>
              <w:top w:w="0" w:type="dxa"/>
              <w:left w:w="108" w:type="dxa"/>
              <w:bottom w:w="0" w:type="dxa"/>
              <w:right w:w="108" w:type="dxa"/>
            </w:tcMar>
          </w:tcPr>
          <w:p w14:paraId="0E6CCE7E" w14:textId="77777777" w:rsidR="008B3A84" w:rsidRDefault="000C099A" w:rsidP="0050305F">
            <w:pPr>
              <w:spacing w:after="120"/>
            </w:pPr>
            <w:r>
              <w:rPr>
                <w:rFonts w:ascii="Cambria" w:hAnsi="Cambria"/>
              </w:rPr>
              <w:t xml:space="preserve">Flow on the </w:t>
            </w:r>
            <w:proofErr w:type="spellStart"/>
            <w:r>
              <w:rPr>
                <w:rFonts w:ascii="Cambria" w:hAnsi="Cambria"/>
              </w:rPr>
              <w:t>conductivity</w:t>
            </w:r>
            <w:proofErr w:type="spellEnd"/>
            <w:r>
              <w:rPr>
                <w:rFonts w:ascii="Cambria" w:hAnsi="Cambria"/>
              </w:rPr>
              <w:t xml:space="preserve"> </w:t>
            </w:r>
            <w:proofErr w:type="spellStart"/>
            <w:r>
              <w:rPr>
                <w:rFonts w:ascii="Cambria" w:hAnsi="Cambria"/>
              </w:rPr>
              <w:t>cell</w:t>
            </w:r>
            <w:proofErr w:type="spellEnd"/>
            <w:r>
              <w:rPr>
                <w:rFonts w:ascii="Cambria" w:hAnsi="Cambria"/>
              </w:rPr>
              <w:t xml:space="preserve"> </w:t>
            </w:r>
            <w:proofErr w:type="spellStart"/>
            <w:r>
              <w:rPr>
                <w:rFonts w:ascii="Cambria" w:hAnsi="Cambria"/>
              </w:rPr>
              <w:t>lower</w:t>
            </w:r>
            <w:proofErr w:type="spellEnd"/>
            <w:r>
              <w:rPr>
                <w:rFonts w:ascii="Cambria" w:hAnsi="Cambria"/>
              </w:rPr>
              <w:t xml:space="preserve"> </w:t>
            </w:r>
            <w:proofErr w:type="spellStart"/>
            <w:r>
              <w:rPr>
                <w:rFonts w:ascii="Cambria" w:hAnsi="Cambria"/>
              </w:rPr>
              <w:t>than</w:t>
            </w:r>
            <w:proofErr w:type="spellEnd"/>
            <w:r>
              <w:rPr>
                <w:rFonts w:ascii="Cambria" w:hAnsi="Cambria"/>
              </w:rPr>
              <w:t xml:space="preserve"> </w:t>
            </w:r>
            <w:proofErr w:type="spellStart"/>
            <w:r>
              <w:rPr>
                <w:rFonts w:ascii="Cambria" w:hAnsi="Cambria"/>
              </w:rPr>
              <w:t>required</w:t>
            </w:r>
            <w:proofErr w:type="spellEnd"/>
            <w:r>
              <w:rPr>
                <w:rFonts w:ascii="Cambria" w:hAnsi="Cambria"/>
              </w:rPr>
              <w:t xml:space="preserve"> or</w:t>
            </w:r>
          </w:p>
          <w:p w14:paraId="7F3A6627" w14:textId="77777777" w:rsidR="008B3A84" w:rsidRDefault="000C099A" w:rsidP="0050305F">
            <w:pPr>
              <w:spacing w:after="120"/>
            </w:pPr>
            <w:proofErr w:type="spellStart"/>
            <w:r>
              <w:rPr>
                <w:rFonts w:ascii="Cambria" w:hAnsi="Cambria"/>
              </w:rPr>
              <w:t>Numerous</w:t>
            </w:r>
            <w:proofErr w:type="spellEnd"/>
            <w:r>
              <w:rPr>
                <w:rFonts w:ascii="Cambria" w:hAnsi="Cambria"/>
              </w:rPr>
              <w:t xml:space="preserve"> air </w:t>
            </w:r>
            <w:proofErr w:type="spellStart"/>
            <w:r>
              <w:rPr>
                <w:rFonts w:ascii="Cambria" w:hAnsi="Cambria"/>
              </w:rPr>
              <w:t>bubble</w:t>
            </w:r>
            <w:proofErr w:type="spellEnd"/>
            <w:r>
              <w:rPr>
                <w:rFonts w:ascii="Cambria" w:hAnsi="Cambria"/>
              </w:rPr>
              <w:t xml:space="preserve"> </w:t>
            </w:r>
            <w:proofErr w:type="spellStart"/>
            <w:r>
              <w:rPr>
                <w:rFonts w:ascii="Cambria" w:hAnsi="Cambria"/>
              </w:rPr>
              <w:t>reduce</w:t>
            </w:r>
            <w:proofErr w:type="spellEnd"/>
            <w:r>
              <w:rPr>
                <w:rFonts w:ascii="Cambria" w:hAnsi="Cambria"/>
              </w:rPr>
              <w:t xml:space="preserve"> </w:t>
            </w:r>
            <w:proofErr w:type="spellStart"/>
            <w:r>
              <w:rPr>
                <w:rFonts w:ascii="Cambria" w:hAnsi="Cambria"/>
              </w:rPr>
              <w:t>significantly</w:t>
            </w:r>
            <w:proofErr w:type="spellEnd"/>
            <w:r>
              <w:rPr>
                <w:rFonts w:ascii="Cambria" w:hAnsi="Cambria"/>
              </w:rPr>
              <w:t xml:space="preserve"> the </w:t>
            </w:r>
            <w:proofErr w:type="spellStart"/>
            <w:r>
              <w:rPr>
                <w:rFonts w:ascii="Cambria" w:hAnsi="Cambria"/>
              </w:rPr>
              <w:t>salinity</w:t>
            </w:r>
            <w:proofErr w:type="spellEnd"/>
          </w:p>
        </w:tc>
      </w:tr>
      <w:tr w:rsidR="008B3A84" w14:paraId="120750CA" w14:textId="77777777" w:rsidTr="009A212C">
        <w:tc>
          <w:tcPr>
            <w:tcW w:w="769" w:type="dxa"/>
            <w:shd w:val="clear" w:color="auto" w:fill="auto"/>
            <w:tcMar>
              <w:top w:w="0" w:type="dxa"/>
              <w:left w:w="108" w:type="dxa"/>
              <w:bottom w:w="0" w:type="dxa"/>
              <w:right w:w="108" w:type="dxa"/>
            </w:tcMar>
            <w:vAlign w:val="center"/>
          </w:tcPr>
          <w:p w14:paraId="55ECE1B5" w14:textId="77777777" w:rsidR="008B3A84" w:rsidRDefault="000C099A" w:rsidP="0050305F">
            <w:pPr>
              <w:pStyle w:val="Standard"/>
              <w:spacing w:after="120"/>
            </w:pPr>
            <w:r>
              <w:rPr>
                <w:bCs/>
              </w:rPr>
              <w:t xml:space="preserve">4 </w:t>
            </w:r>
          </w:p>
        </w:tc>
        <w:tc>
          <w:tcPr>
            <w:tcW w:w="2708" w:type="dxa"/>
            <w:shd w:val="clear" w:color="auto" w:fill="auto"/>
            <w:tcMar>
              <w:top w:w="0" w:type="dxa"/>
              <w:left w:w="108" w:type="dxa"/>
              <w:bottom w:w="0" w:type="dxa"/>
              <w:right w:w="108" w:type="dxa"/>
            </w:tcMar>
            <w:vAlign w:val="center"/>
          </w:tcPr>
          <w:p w14:paraId="7B9BC5E0" w14:textId="77777777" w:rsidR="008B3A84" w:rsidRDefault="000C099A" w:rsidP="0050305F">
            <w:pPr>
              <w:pStyle w:val="Standard"/>
              <w:spacing w:after="120"/>
            </w:pPr>
            <w:r>
              <w:t xml:space="preserve">Bad data </w:t>
            </w:r>
          </w:p>
        </w:tc>
        <w:tc>
          <w:tcPr>
            <w:tcW w:w="5609" w:type="dxa"/>
            <w:shd w:val="clear" w:color="auto" w:fill="auto"/>
            <w:tcMar>
              <w:top w:w="0" w:type="dxa"/>
              <w:left w:w="108" w:type="dxa"/>
              <w:bottom w:w="0" w:type="dxa"/>
              <w:right w:w="108" w:type="dxa"/>
            </w:tcMar>
          </w:tcPr>
          <w:p w14:paraId="22031C83" w14:textId="5B9CD0DA" w:rsidR="008B3A84" w:rsidRDefault="0050305F" w:rsidP="0050305F">
            <w:pPr>
              <w:pStyle w:val="Standard"/>
              <w:spacing w:after="120"/>
            </w:pPr>
            <w:proofErr w:type="gramStart"/>
            <w:r>
              <w:t>seacock</w:t>
            </w:r>
            <w:proofErr w:type="gramEnd"/>
            <w:r>
              <w:t xml:space="preserve"> closed or</w:t>
            </w:r>
          </w:p>
          <w:p w14:paraId="6C69840F" w14:textId="1F2A55C6" w:rsidR="008B3A84" w:rsidRDefault="000C099A" w:rsidP="0050305F">
            <w:pPr>
              <w:pStyle w:val="Standard"/>
              <w:spacing w:after="120"/>
            </w:pPr>
            <w:proofErr w:type="gramStart"/>
            <w:r>
              <w:t>insufficient</w:t>
            </w:r>
            <w:proofErr w:type="gramEnd"/>
            <w:r>
              <w:t xml:space="preserve"> f</w:t>
            </w:r>
            <w:r w:rsidR="0050305F">
              <w:t>low in the conductivity cell or</w:t>
            </w:r>
          </w:p>
          <w:p w14:paraId="26FC35AD" w14:textId="77777777" w:rsidR="008B3A84" w:rsidRDefault="000C099A" w:rsidP="0050305F">
            <w:pPr>
              <w:pStyle w:val="Standard"/>
              <w:spacing w:after="120"/>
            </w:pPr>
            <w:proofErr w:type="gramStart"/>
            <w:r>
              <w:t>shell</w:t>
            </w:r>
            <w:proofErr w:type="gramEnd"/>
            <w:r>
              <w:t xml:space="preserve"> or large debris inside the conductivity shell or</w:t>
            </w:r>
          </w:p>
          <w:p w14:paraId="34A3FC00" w14:textId="77777777" w:rsidR="008B3A84" w:rsidRDefault="000C099A" w:rsidP="0050305F">
            <w:pPr>
              <w:pStyle w:val="Standard"/>
              <w:spacing w:after="120"/>
            </w:pPr>
            <w:proofErr w:type="gramStart"/>
            <w:r>
              <w:t>electronic</w:t>
            </w:r>
            <w:proofErr w:type="gramEnd"/>
            <w:r>
              <w:t xml:space="preserve"> failure</w:t>
            </w:r>
          </w:p>
        </w:tc>
      </w:tr>
      <w:tr w:rsidR="008B3A84" w14:paraId="5A2B8D89" w14:textId="77777777" w:rsidTr="009A212C">
        <w:tc>
          <w:tcPr>
            <w:tcW w:w="769" w:type="dxa"/>
            <w:shd w:val="clear" w:color="auto" w:fill="auto"/>
            <w:tcMar>
              <w:top w:w="0" w:type="dxa"/>
              <w:left w:w="108" w:type="dxa"/>
              <w:bottom w:w="0" w:type="dxa"/>
              <w:right w:w="108" w:type="dxa"/>
            </w:tcMar>
            <w:vAlign w:val="center"/>
          </w:tcPr>
          <w:p w14:paraId="3DB2FF1E" w14:textId="77777777" w:rsidR="008B3A84" w:rsidRDefault="000C099A" w:rsidP="0050305F">
            <w:pPr>
              <w:pStyle w:val="Standard"/>
              <w:spacing w:after="120"/>
            </w:pPr>
            <w:r>
              <w:rPr>
                <w:bCs/>
              </w:rPr>
              <w:t xml:space="preserve">5 </w:t>
            </w:r>
          </w:p>
        </w:tc>
        <w:tc>
          <w:tcPr>
            <w:tcW w:w="2708" w:type="dxa"/>
            <w:shd w:val="clear" w:color="auto" w:fill="auto"/>
            <w:tcMar>
              <w:top w:w="0" w:type="dxa"/>
              <w:left w:w="108" w:type="dxa"/>
              <w:bottom w:w="0" w:type="dxa"/>
              <w:right w:w="108" w:type="dxa"/>
            </w:tcMar>
            <w:vAlign w:val="center"/>
          </w:tcPr>
          <w:p w14:paraId="16F20269" w14:textId="77777777" w:rsidR="008B3A84" w:rsidRDefault="000C099A" w:rsidP="0050305F">
            <w:pPr>
              <w:pStyle w:val="Standard"/>
              <w:spacing w:after="120"/>
            </w:pPr>
            <w:r>
              <w:t xml:space="preserve">Value changed </w:t>
            </w:r>
          </w:p>
        </w:tc>
        <w:tc>
          <w:tcPr>
            <w:tcW w:w="5609" w:type="dxa"/>
            <w:shd w:val="clear" w:color="auto" w:fill="auto"/>
            <w:tcMar>
              <w:top w:w="0" w:type="dxa"/>
              <w:left w:w="108" w:type="dxa"/>
              <w:bottom w:w="0" w:type="dxa"/>
              <w:right w:w="108" w:type="dxa"/>
            </w:tcMar>
          </w:tcPr>
          <w:p w14:paraId="5D5327D2" w14:textId="77777777" w:rsidR="008B3A84" w:rsidRDefault="008B3A84" w:rsidP="0050305F">
            <w:pPr>
              <w:pStyle w:val="Standard"/>
              <w:spacing w:after="120"/>
            </w:pPr>
          </w:p>
        </w:tc>
      </w:tr>
      <w:tr w:rsidR="008B3A84" w14:paraId="3565FB73" w14:textId="77777777" w:rsidTr="009A212C">
        <w:tc>
          <w:tcPr>
            <w:tcW w:w="769" w:type="dxa"/>
            <w:shd w:val="clear" w:color="auto" w:fill="auto"/>
            <w:tcMar>
              <w:top w:w="0" w:type="dxa"/>
              <w:left w:w="108" w:type="dxa"/>
              <w:bottom w:w="0" w:type="dxa"/>
              <w:right w:w="108" w:type="dxa"/>
            </w:tcMar>
            <w:vAlign w:val="center"/>
          </w:tcPr>
          <w:p w14:paraId="53E1B056" w14:textId="77777777" w:rsidR="008B3A84" w:rsidRDefault="000C099A" w:rsidP="0050305F">
            <w:pPr>
              <w:pStyle w:val="Standard"/>
              <w:spacing w:after="120"/>
            </w:pPr>
            <w:r>
              <w:rPr>
                <w:bCs/>
              </w:rPr>
              <w:t xml:space="preserve">6 </w:t>
            </w:r>
          </w:p>
        </w:tc>
        <w:tc>
          <w:tcPr>
            <w:tcW w:w="2708" w:type="dxa"/>
            <w:shd w:val="clear" w:color="auto" w:fill="auto"/>
            <w:tcMar>
              <w:top w:w="0" w:type="dxa"/>
              <w:left w:w="108" w:type="dxa"/>
              <w:bottom w:w="0" w:type="dxa"/>
              <w:right w:w="108" w:type="dxa"/>
            </w:tcMar>
            <w:vAlign w:val="center"/>
          </w:tcPr>
          <w:p w14:paraId="1436BED8" w14:textId="77777777" w:rsidR="008B3A84" w:rsidRDefault="000C099A" w:rsidP="0050305F">
            <w:pPr>
              <w:pStyle w:val="Standard"/>
              <w:spacing w:after="120"/>
            </w:pPr>
            <w:r>
              <w:t xml:space="preserve">Harbour </w:t>
            </w:r>
          </w:p>
        </w:tc>
        <w:tc>
          <w:tcPr>
            <w:tcW w:w="5609" w:type="dxa"/>
            <w:shd w:val="clear" w:color="auto" w:fill="auto"/>
            <w:tcMar>
              <w:top w:w="0" w:type="dxa"/>
              <w:left w:w="108" w:type="dxa"/>
              <w:bottom w:w="0" w:type="dxa"/>
              <w:right w:w="108" w:type="dxa"/>
            </w:tcMar>
          </w:tcPr>
          <w:p w14:paraId="134411A7" w14:textId="52627479" w:rsidR="008B3A84" w:rsidRDefault="000C099A" w:rsidP="0050305F">
            <w:pPr>
              <w:pStyle w:val="Standard"/>
              <w:spacing w:after="120"/>
            </w:pPr>
            <w:r>
              <w:t xml:space="preserve">The ship has entered a bay or harbour. </w:t>
            </w:r>
          </w:p>
        </w:tc>
      </w:tr>
      <w:tr w:rsidR="008B3A84" w14:paraId="2BE9E3E7" w14:textId="77777777" w:rsidTr="009A212C">
        <w:tc>
          <w:tcPr>
            <w:tcW w:w="769" w:type="dxa"/>
            <w:shd w:val="clear" w:color="auto" w:fill="auto"/>
            <w:tcMar>
              <w:top w:w="0" w:type="dxa"/>
              <w:left w:w="108" w:type="dxa"/>
              <w:bottom w:w="0" w:type="dxa"/>
              <w:right w:w="108" w:type="dxa"/>
            </w:tcMar>
            <w:vAlign w:val="center"/>
          </w:tcPr>
          <w:p w14:paraId="246C4511" w14:textId="77777777" w:rsidR="008B3A84" w:rsidRDefault="000C099A" w:rsidP="0050305F">
            <w:pPr>
              <w:pStyle w:val="Standard"/>
              <w:spacing w:after="120"/>
            </w:pPr>
            <w:r>
              <w:rPr>
                <w:bCs/>
              </w:rPr>
              <w:t xml:space="preserve">7 </w:t>
            </w:r>
          </w:p>
        </w:tc>
        <w:tc>
          <w:tcPr>
            <w:tcW w:w="2708" w:type="dxa"/>
            <w:shd w:val="clear" w:color="auto" w:fill="auto"/>
            <w:tcMar>
              <w:top w:w="0" w:type="dxa"/>
              <w:left w:w="108" w:type="dxa"/>
              <w:bottom w:w="0" w:type="dxa"/>
              <w:right w:w="108" w:type="dxa"/>
            </w:tcMar>
            <w:vAlign w:val="center"/>
          </w:tcPr>
          <w:p w14:paraId="68A2724B" w14:textId="77777777" w:rsidR="008B3A84" w:rsidRDefault="000C099A" w:rsidP="0050305F">
            <w:pPr>
              <w:pStyle w:val="Standard"/>
              <w:spacing w:after="120"/>
            </w:pPr>
            <w:r>
              <w:t xml:space="preserve">Not used </w:t>
            </w:r>
          </w:p>
        </w:tc>
        <w:tc>
          <w:tcPr>
            <w:tcW w:w="5609" w:type="dxa"/>
            <w:shd w:val="clear" w:color="auto" w:fill="auto"/>
            <w:tcMar>
              <w:top w:w="0" w:type="dxa"/>
              <w:left w:w="108" w:type="dxa"/>
              <w:bottom w:w="0" w:type="dxa"/>
              <w:right w:w="108" w:type="dxa"/>
            </w:tcMar>
          </w:tcPr>
          <w:p w14:paraId="3B078E46" w14:textId="77777777" w:rsidR="008B3A84" w:rsidRDefault="008B3A84" w:rsidP="0050305F">
            <w:pPr>
              <w:pStyle w:val="Standard"/>
              <w:spacing w:after="120"/>
            </w:pPr>
          </w:p>
        </w:tc>
      </w:tr>
      <w:tr w:rsidR="008B3A84" w14:paraId="1F5C9DE8" w14:textId="77777777" w:rsidTr="009A212C">
        <w:tc>
          <w:tcPr>
            <w:tcW w:w="769" w:type="dxa"/>
            <w:shd w:val="clear" w:color="auto" w:fill="auto"/>
            <w:tcMar>
              <w:top w:w="0" w:type="dxa"/>
              <w:left w:w="108" w:type="dxa"/>
              <w:bottom w:w="0" w:type="dxa"/>
              <w:right w:w="108" w:type="dxa"/>
            </w:tcMar>
            <w:vAlign w:val="center"/>
          </w:tcPr>
          <w:p w14:paraId="46D8F1E7" w14:textId="77777777" w:rsidR="008B3A84" w:rsidRDefault="000C099A" w:rsidP="0050305F">
            <w:pPr>
              <w:pStyle w:val="Standard"/>
              <w:spacing w:after="120"/>
            </w:pPr>
            <w:r>
              <w:rPr>
                <w:bCs/>
              </w:rPr>
              <w:t xml:space="preserve">8 </w:t>
            </w:r>
          </w:p>
        </w:tc>
        <w:tc>
          <w:tcPr>
            <w:tcW w:w="2708" w:type="dxa"/>
            <w:shd w:val="clear" w:color="auto" w:fill="auto"/>
            <w:tcMar>
              <w:top w:w="0" w:type="dxa"/>
              <w:left w:w="108" w:type="dxa"/>
              <w:bottom w:w="0" w:type="dxa"/>
              <w:right w:w="108" w:type="dxa"/>
            </w:tcMar>
            <w:vAlign w:val="center"/>
          </w:tcPr>
          <w:p w14:paraId="0BC514B8" w14:textId="77777777" w:rsidR="008B3A84" w:rsidRDefault="000C099A" w:rsidP="0050305F">
            <w:pPr>
              <w:pStyle w:val="Standard"/>
              <w:spacing w:after="120"/>
            </w:pPr>
            <w:r>
              <w:t xml:space="preserve">Interpolated value </w:t>
            </w:r>
          </w:p>
        </w:tc>
        <w:tc>
          <w:tcPr>
            <w:tcW w:w="5609" w:type="dxa"/>
            <w:shd w:val="clear" w:color="auto" w:fill="auto"/>
            <w:tcMar>
              <w:top w:w="0" w:type="dxa"/>
              <w:left w:w="108" w:type="dxa"/>
              <w:bottom w:w="0" w:type="dxa"/>
              <w:right w:w="108" w:type="dxa"/>
            </w:tcMar>
          </w:tcPr>
          <w:p w14:paraId="22B89C9B" w14:textId="77777777" w:rsidR="008B3A84" w:rsidRDefault="000C099A" w:rsidP="0050305F">
            <w:pPr>
              <w:pStyle w:val="Standard"/>
              <w:spacing w:after="120"/>
            </w:pPr>
            <w:r>
              <w:t>Applies to position only</w:t>
            </w:r>
          </w:p>
        </w:tc>
      </w:tr>
      <w:tr w:rsidR="008B3A84" w14:paraId="5EFC0017" w14:textId="77777777" w:rsidTr="009A212C">
        <w:tc>
          <w:tcPr>
            <w:tcW w:w="769" w:type="dxa"/>
            <w:shd w:val="clear" w:color="auto" w:fill="auto"/>
            <w:tcMar>
              <w:top w:w="0" w:type="dxa"/>
              <w:left w:w="108" w:type="dxa"/>
              <w:bottom w:w="0" w:type="dxa"/>
              <w:right w:w="108" w:type="dxa"/>
            </w:tcMar>
            <w:vAlign w:val="center"/>
          </w:tcPr>
          <w:p w14:paraId="3F229E94" w14:textId="77777777" w:rsidR="008B3A84" w:rsidRDefault="000C099A" w:rsidP="0050305F">
            <w:pPr>
              <w:pStyle w:val="Standard"/>
              <w:spacing w:after="120"/>
            </w:pPr>
            <w:r>
              <w:rPr>
                <w:bCs/>
              </w:rPr>
              <w:t xml:space="preserve">9 </w:t>
            </w:r>
          </w:p>
        </w:tc>
        <w:tc>
          <w:tcPr>
            <w:tcW w:w="2708" w:type="dxa"/>
            <w:shd w:val="clear" w:color="auto" w:fill="auto"/>
            <w:tcMar>
              <w:top w:w="0" w:type="dxa"/>
              <w:left w:w="108" w:type="dxa"/>
              <w:bottom w:w="0" w:type="dxa"/>
              <w:right w:w="108" w:type="dxa"/>
            </w:tcMar>
            <w:vAlign w:val="center"/>
          </w:tcPr>
          <w:p w14:paraId="2E2A70AE" w14:textId="77777777" w:rsidR="008B3A84" w:rsidRDefault="000C099A" w:rsidP="0050305F">
            <w:pPr>
              <w:pStyle w:val="Standard"/>
              <w:keepNext/>
              <w:spacing w:after="120"/>
            </w:pPr>
            <w:r>
              <w:t xml:space="preserve">Missing value </w:t>
            </w:r>
          </w:p>
        </w:tc>
        <w:tc>
          <w:tcPr>
            <w:tcW w:w="5609" w:type="dxa"/>
            <w:shd w:val="clear" w:color="auto" w:fill="auto"/>
            <w:tcMar>
              <w:top w:w="0" w:type="dxa"/>
              <w:left w:w="108" w:type="dxa"/>
              <w:bottom w:w="0" w:type="dxa"/>
              <w:right w:w="108" w:type="dxa"/>
            </w:tcMar>
          </w:tcPr>
          <w:p w14:paraId="2D317FAE" w14:textId="77777777" w:rsidR="008B3A84" w:rsidRDefault="008B3A84" w:rsidP="0050305F">
            <w:pPr>
              <w:pStyle w:val="Standard"/>
              <w:keepNext/>
              <w:spacing w:after="120"/>
            </w:pPr>
          </w:p>
        </w:tc>
      </w:tr>
    </w:tbl>
    <w:p w14:paraId="049C4FF2" w14:textId="23EFF74A" w:rsidR="008B3A84" w:rsidRDefault="000C099A">
      <w:pPr>
        <w:pStyle w:val="Standard"/>
      </w:pPr>
      <w:r>
        <w:t>Definition of the quality control flags and how they are applied in delayed mode</w:t>
      </w:r>
    </w:p>
    <w:p w14:paraId="7BB3A55E" w14:textId="77777777" w:rsidR="008B3A84" w:rsidRDefault="008B3A84">
      <w:pPr>
        <w:pStyle w:val="Standard"/>
      </w:pPr>
    </w:p>
    <w:p w14:paraId="35DBF8AA" w14:textId="77777777" w:rsidR="008B3A84" w:rsidRDefault="008B3A84">
      <w:pPr>
        <w:pStyle w:val="Standard"/>
      </w:pPr>
    </w:p>
    <w:p w14:paraId="52DF72CA" w14:textId="77777777" w:rsidR="008B3A84" w:rsidRDefault="008B3A84">
      <w:pPr>
        <w:pStyle w:val="Standard"/>
      </w:pPr>
    </w:p>
    <w:p w14:paraId="1852F10F" w14:textId="1F581715" w:rsidR="008B3A84" w:rsidRDefault="00561C6D" w:rsidP="00CE6900">
      <w:pPr>
        <w:pStyle w:val="Titre2"/>
      </w:pPr>
      <w:r>
        <w:t>References</w:t>
      </w:r>
    </w:p>
    <w:p w14:paraId="1475F8AB" w14:textId="1612BB9C" w:rsidR="00561C6D" w:rsidRDefault="00561C6D" w:rsidP="00CE6900">
      <w:pPr>
        <w:pStyle w:val="Titre3"/>
      </w:pPr>
      <w:r>
        <w:t xml:space="preserve">Software used to perform quality control of </w:t>
      </w:r>
      <w:proofErr w:type="spellStart"/>
      <w:r>
        <w:t>thermosalinometer</w:t>
      </w:r>
      <w:proofErr w:type="spellEnd"/>
      <w:r>
        <w:t xml:space="preserve"> data:</w:t>
      </w:r>
    </w:p>
    <w:p w14:paraId="485FEC34" w14:textId="748F68A7" w:rsidR="005A4969" w:rsidRPr="005A4969" w:rsidRDefault="005A4969" w:rsidP="005A4969">
      <w:pPr>
        <w:pStyle w:val="Corpsdetexte"/>
      </w:pPr>
      <w:proofErr w:type="gramStart"/>
      <w:r>
        <w:rPr>
          <w:rFonts w:eastAsia="Times New Roman" w:cs="Times New Roman"/>
        </w:rPr>
        <w:t>TSG-QC (</w:t>
      </w:r>
      <w:hyperlink r:id="rId9" w:history="1">
        <w:r>
          <w:rPr>
            <w:rStyle w:val="Lienhypertexte"/>
            <w:rFonts w:eastAsia="Times New Roman" w:cs="Times New Roman"/>
          </w:rPr>
          <w:t>http://www.ird.fr/us191/spip.php?article63</w:t>
        </w:r>
      </w:hyperlink>
      <w:r>
        <w:rPr>
          <w:rFonts w:eastAsia="Times New Roman" w:cs="Times New Roman"/>
        </w:rPr>
        <w:t>).</w:t>
      </w:r>
      <w:proofErr w:type="gramEnd"/>
    </w:p>
    <w:p w14:paraId="64D59DB6" w14:textId="77777777" w:rsidR="00CE6900" w:rsidRDefault="00CE6900">
      <w:pPr>
        <w:pStyle w:val="Standard"/>
      </w:pPr>
    </w:p>
    <w:p w14:paraId="4C528DB2" w14:textId="721033E5" w:rsidR="00561C6D" w:rsidRDefault="00E021FA" w:rsidP="00CE6900">
      <w:pPr>
        <w:pStyle w:val="Titre3"/>
      </w:pPr>
      <w:r>
        <w:t xml:space="preserve">Published </w:t>
      </w:r>
      <w:r w:rsidR="00CE6900">
        <w:t>article on the method</w:t>
      </w:r>
    </w:p>
    <w:p w14:paraId="0BD91094" w14:textId="77777777" w:rsidR="008B3A84" w:rsidRDefault="000C099A">
      <w:pPr>
        <w:pStyle w:val="Standard"/>
      </w:pPr>
      <w:proofErr w:type="spellStart"/>
      <w:r>
        <w:t>Alory</w:t>
      </w:r>
      <w:proofErr w:type="spellEnd"/>
      <w:r>
        <w:t xml:space="preserve"> G., T. </w:t>
      </w:r>
      <w:proofErr w:type="spellStart"/>
      <w:r>
        <w:t>Delcroix</w:t>
      </w:r>
      <w:proofErr w:type="spellEnd"/>
      <w:r>
        <w:t xml:space="preserve">, P. </w:t>
      </w:r>
      <w:proofErr w:type="spellStart"/>
      <w:r>
        <w:t>Téchiné</w:t>
      </w:r>
      <w:proofErr w:type="spellEnd"/>
      <w:r>
        <w:t xml:space="preserve">, D. </w:t>
      </w:r>
      <w:proofErr w:type="spellStart"/>
      <w:r>
        <w:t>Diverrès</w:t>
      </w:r>
      <w:proofErr w:type="spellEnd"/>
      <w:r>
        <w:t xml:space="preserve">, D. </w:t>
      </w:r>
      <w:proofErr w:type="spellStart"/>
      <w:r>
        <w:t>Varillon</w:t>
      </w:r>
      <w:proofErr w:type="spellEnd"/>
      <w:r>
        <w:t xml:space="preserve">, S. </w:t>
      </w:r>
      <w:proofErr w:type="spellStart"/>
      <w:r>
        <w:t>Cravatte</w:t>
      </w:r>
      <w:proofErr w:type="spellEnd"/>
      <w:r>
        <w:t xml:space="preserve">, Y. </w:t>
      </w:r>
      <w:proofErr w:type="spellStart"/>
      <w:r>
        <w:t>Gouriou</w:t>
      </w:r>
      <w:proofErr w:type="spellEnd"/>
      <w:r>
        <w:t xml:space="preserve">, J. </w:t>
      </w:r>
      <w:proofErr w:type="spellStart"/>
      <w:r>
        <w:t>Grelet</w:t>
      </w:r>
      <w:proofErr w:type="spellEnd"/>
      <w:r>
        <w:t xml:space="preserve">, S. </w:t>
      </w:r>
      <w:proofErr w:type="spellStart"/>
      <w:r>
        <w:t>Jacquin</w:t>
      </w:r>
      <w:proofErr w:type="spellEnd"/>
      <w:r>
        <w:t xml:space="preserve">, E. </w:t>
      </w:r>
      <w:proofErr w:type="spellStart"/>
      <w:r>
        <w:t>Kestenare</w:t>
      </w:r>
      <w:proofErr w:type="spellEnd"/>
      <w:r>
        <w:t xml:space="preserve">, C. </w:t>
      </w:r>
      <w:proofErr w:type="spellStart"/>
      <w:r>
        <w:t>Maes</w:t>
      </w:r>
      <w:proofErr w:type="spellEnd"/>
      <w:r>
        <w:t xml:space="preserve">, R. Morrow, J. Perrier, G. </w:t>
      </w:r>
      <w:proofErr w:type="spellStart"/>
      <w:r>
        <w:t>Reverdin</w:t>
      </w:r>
      <w:proofErr w:type="spellEnd"/>
      <w:r>
        <w:t xml:space="preserve">, and F. </w:t>
      </w:r>
      <w:proofErr w:type="spellStart"/>
      <w:r>
        <w:t>Roubaud</w:t>
      </w:r>
      <w:proofErr w:type="spellEnd"/>
      <w:r>
        <w:t xml:space="preserve">, 2015. </w:t>
      </w:r>
      <w:proofErr w:type="gramStart"/>
      <w:r>
        <w:t>The French contribution to the Voluntary Observing Ships network of Sea Surface Salinity.</w:t>
      </w:r>
      <w:proofErr w:type="gramEnd"/>
      <w:r>
        <w:t xml:space="preserve"> Deep Sea Res., 105, 1-18, doi</w:t>
      </w:r>
      <w:proofErr w:type="gramStart"/>
      <w:r>
        <w:t>:10.1016</w:t>
      </w:r>
      <w:proofErr w:type="gramEnd"/>
      <w:r>
        <w:t>/j.DSR.2015.08.005</w:t>
      </w:r>
    </w:p>
    <w:p w14:paraId="18081EC5" w14:textId="39E583C0" w:rsidR="005A4969" w:rsidRDefault="005A4969">
      <w:pPr>
        <w:pStyle w:val="Standard"/>
      </w:pPr>
      <w:r>
        <w:rPr>
          <w:rFonts w:eastAsia="Times New Roman" w:cs="Times New Roman"/>
        </w:rPr>
        <w:t xml:space="preserve">Gaillard </w:t>
      </w:r>
      <w:proofErr w:type="spellStart"/>
      <w:r>
        <w:rPr>
          <w:rFonts w:eastAsia="Times New Roman" w:cs="Times New Roman"/>
        </w:rPr>
        <w:t>Fabienne</w:t>
      </w:r>
      <w:proofErr w:type="spellEnd"/>
      <w:r>
        <w:rPr>
          <w:rFonts w:eastAsia="Times New Roman" w:cs="Times New Roman"/>
        </w:rPr>
        <w:t xml:space="preserve">, </w:t>
      </w:r>
      <w:proofErr w:type="spellStart"/>
      <w:r>
        <w:rPr>
          <w:rFonts w:eastAsia="Times New Roman" w:cs="Times New Roman"/>
        </w:rPr>
        <w:t>Diverres</w:t>
      </w:r>
      <w:proofErr w:type="spellEnd"/>
      <w:r>
        <w:rPr>
          <w:rFonts w:eastAsia="Times New Roman" w:cs="Times New Roman"/>
        </w:rPr>
        <w:t xml:space="preserve"> Denis, </w:t>
      </w:r>
      <w:proofErr w:type="spellStart"/>
      <w:r>
        <w:rPr>
          <w:rFonts w:eastAsia="Times New Roman" w:cs="Times New Roman"/>
        </w:rPr>
        <w:t>Jacquin</w:t>
      </w:r>
      <w:proofErr w:type="spellEnd"/>
      <w:r>
        <w:rPr>
          <w:rFonts w:eastAsia="Times New Roman" w:cs="Times New Roman"/>
        </w:rPr>
        <w:t xml:space="preserve"> </w:t>
      </w:r>
      <w:proofErr w:type="spellStart"/>
      <w:r>
        <w:rPr>
          <w:rFonts w:eastAsia="Times New Roman" w:cs="Times New Roman"/>
        </w:rPr>
        <w:t>Stéphane</w:t>
      </w:r>
      <w:proofErr w:type="spellEnd"/>
      <w:r>
        <w:rPr>
          <w:rFonts w:eastAsia="Times New Roman" w:cs="Times New Roman"/>
        </w:rPr>
        <w:t xml:space="preserve">, </w:t>
      </w:r>
      <w:proofErr w:type="spellStart"/>
      <w:r>
        <w:rPr>
          <w:rFonts w:eastAsia="Times New Roman" w:cs="Times New Roman"/>
        </w:rPr>
        <w:t>Gouriou</w:t>
      </w:r>
      <w:proofErr w:type="spellEnd"/>
      <w:r>
        <w:rPr>
          <w:rFonts w:eastAsia="Times New Roman" w:cs="Times New Roman"/>
        </w:rPr>
        <w:t xml:space="preserve"> Yves, </w:t>
      </w:r>
      <w:proofErr w:type="spellStart"/>
      <w:r>
        <w:rPr>
          <w:rFonts w:eastAsia="Times New Roman" w:cs="Times New Roman"/>
        </w:rPr>
        <w:t>Grelet</w:t>
      </w:r>
      <w:proofErr w:type="spellEnd"/>
      <w:r>
        <w:rPr>
          <w:rFonts w:eastAsia="Times New Roman" w:cs="Times New Roman"/>
        </w:rPr>
        <w:t xml:space="preserve"> Jacques, Le </w:t>
      </w:r>
      <w:proofErr w:type="spellStart"/>
      <w:r>
        <w:rPr>
          <w:rFonts w:eastAsia="Times New Roman" w:cs="Times New Roman"/>
        </w:rPr>
        <w:t>Menn</w:t>
      </w:r>
      <w:proofErr w:type="spellEnd"/>
      <w:r>
        <w:rPr>
          <w:rFonts w:eastAsia="Times New Roman" w:cs="Times New Roman"/>
        </w:rPr>
        <w:t xml:space="preserve"> Marc, Tassel Joelle, </w:t>
      </w:r>
      <w:proofErr w:type="spellStart"/>
      <w:r>
        <w:rPr>
          <w:rFonts w:eastAsia="Times New Roman" w:cs="Times New Roman"/>
        </w:rPr>
        <w:t>Reverdin</w:t>
      </w:r>
      <w:proofErr w:type="spellEnd"/>
      <w:r>
        <w:rPr>
          <w:rFonts w:eastAsia="Times New Roman" w:cs="Times New Roman"/>
        </w:rPr>
        <w:t xml:space="preserve"> Gilles (2015). </w:t>
      </w:r>
      <w:r>
        <w:rPr>
          <w:rFonts w:eastAsia="Times New Roman" w:cs="Times New Roman"/>
          <w:b/>
          <w:bCs/>
        </w:rPr>
        <w:t>Sea surface temperature and salinity from French research vessels, 2001–2013</w:t>
      </w:r>
      <w:r>
        <w:rPr>
          <w:rFonts w:eastAsia="Times New Roman" w:cs="Times New Roman"/>
        </w:rPr>
        <w:t xml:space="preserve">. </w:t>
      </w:r>
      <w:proofErr w:type="gramStart"/>
      <w:r>
        <w:rPr>
          <w:rFonts w:eastAsia="Times New Roman" w:cs="Times New Roman"/>
          <w:i/>
          <w:iCs/>
        </w:rPr>
        <w:t>Scientific Data</w:t>
      </w:r>
      <w:r>
        <w:rPr>
          <w:rFonts w:eastAsia="Times New Roman" w:cs="Times New Roman"/>
        </w:rPr>
        <w:t>, 2(150054), 1-9.</w:t>
      </w:r>
      <w:proofErr w:type="gramEnd"/>
      <w:r>
        <w:rPr>
          <w:rFonts w:eastAsia="Times New Roman" w:cs="Times New Roman"/>
        </w:rPr>
        <w:t xml:space="preserve"> Publisher's official </w:t>
      </w:r>
      <w:proofErr w:type="gramStart"/>
      <w:r>
        <w:rPr>
          <w:rFonts w:eastAsia="Times New Roman" w:cs="Times New Roman"/>
        </w:rPr>
        <w:t>version :</w:t>
      </w:r>
      <w:proofErr w:type="gramEnd"/>
      <w:r>
        <w:rPr>
          <w:rFonts w:eastAsia="Times New Roman" w:cs="Times New Roman"/>
        </w:rPr>
        <w:t xml:space="preserve"> </w:t>
      </w:r>
      <w:hyperlink r:id="rId10" w:history="1">
        <w:r>
          <w:rPr>
            <w:rStyle w:val="Lienhypertexte"/>
            <w:rFonts w:eastAsia="Times New Roman" w:cs="Times New Roman"/>
          </w:rPr>
          <w:t>http://doi.org/10.1038/sdata.2015.54</w:t>
        </w:r>
      </w:hyperlink>
      <w:r>
        <w:rPr>
          <w:rFonts w:eastAsia="Times New Roman" w:cs="Times New Roman"/>
        </w:rPr>
        <w:t xml:space="preserve">. </w:t>
      </w:r>
    </w:p>
    <w:p w14:paraId="5C80FC1B" w14:textId="77777777" w:rsidR="00E021FA" w:rsidRDefault="00E021FA">
      <w:pPr>
        <w:pStyle w:val="Standard"/>
      </w:pPr>
    </w:p>
    <w:sectPr w:rsidR="00E021FA" w:rsidSect="00892B0A">
      <w:headerReference w:type="default" r:id="rId11"/>
      <w:pgSz w:w="11906" w:h="16838"/>
      <w:pgMar w:top="1474" w:right="1418" w:bottom="1418" w:left="1418" w:header="454" w:footer="0" w:gutter="0"/>
      <w:cols w:space="720"/>
      <w:formProt w:val="0"/>
      <w:docGrid w:linePitch="24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9CA2F8" w14:textId="77777777" w:rsidR="00677188" w:rsidRDefault="00677188" w:rsidP="003211EB">
      <w:r>
        <w:separator/>
      </w:r>
    </w:p>
  </w:endnote>
  <w:endnote w:type="continuationSeparator" w:id="0">
    <w:p w14:paraId="5ED3E000" w14:textId="77777777" w:rsidR="00677188" w:rsidRDefault="00677188" w:rsidP="003211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WenQuanYi Micro Hei">
    <w:panose1 w:val="00000000000000000000"/>
    <w:charset w:val="00"/>
    <w:family w:val="roman"/>
    <w:notTrueType/>
    <w:pitch w:val="default"/>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Lohit Hindi">
    <w:panose1 w:val="00000000000000000000"/>
    <w:charset w:val="00"/>
    <w:family w:val="roman"/>
    <w:notTrueType/>
    <w:pitch w:val="default"/>
  </w:font>
  <w:font w:name="Liberation Serif">
    <w:altName w:val="Times New Roman"/>
    <w:panose1 w:val="00000000000000000000"/>
    <w:charset w:val="00"/>
    <w:family w:val="roman"/>
    <w:notTrueType/>
    <w:pitch w:val="default"/>
  </w:font>
  <w:font w:name="WenQuanYi Zen Hei">
    <w:panose1 w:val="00000000000000000000"/>
    <w:charset w:val="00"/>
    <w:family w:val="roman"/>
    <w:notTrueType/>
    <w:pitch w:val="default"/>
  </w:font>
  <w:font w:name="Lohit Devanagari">
    <w:panose1 w:val="00000000000000000000"/>
    <w:charset w:val="00"/>
    <w:family w:val="roman"/>
    <w:notTrueType/>
    <w:pitch w:val="default"/>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6107AA" w14:textId="77777777" w:rsidR="00677188" w:rsidRDefault="00677188" w:rsidP="003211EB">
      <w:r>
        <w:separator/>
      </w:r>
    </w:p>
  </w:footnote>
  <w:footnote w:type="continuationSeparator" w:id="0">
    <w:p w14:paraId="47C4DE6A" w14:textId="77777777" w:rsidR="00677188" w:rsidRDefault="00677188" w:rsidP="003211E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3E16F2" w14:textId="6F820E8D" w:rsidR="00677188" w:rsidRPr="003211EB" w:rsidRDefault="00677188" w:rsidP="003211EB">
    <w:pPr>
      <w:rPr>
        <w:rFonts w:asciiTheme="majorHAnsi" w:hAnsiTheme="majorHAnsi"/>
        <w:color w:val="365F91" w:themeColor="accent1" w:themeShade="BF"/>
        <w:sz w:val="32"/>
        <w:szCs w:val="32"/>
      </w:rPr>
    </w:pPr>
    <w:r w:rsidRPr="003211EB">
      <w:rPr>
        <w:rFonts w:asciiTheme="majorHAnsi" w:hAnsiTheme="majorHAnsi"/>
        <w:color w:val="365F91" w:themeColor="accent1" w:themeShade="BF"/>
        <w:sz w:val="32"/>
        <w:szCs w:val="32"/>
      </w:rPr>
      <w:t xml:space="preserve">GOSUD recommendations for good practices  in </w:t>
    </w:r>
    <w:proofErr w:type="spellStart"/>
    <w:r w:rsidRPr="003211EB">
      <w:rPr>
        <w:rFonts w:asciiTheme="majorHAnsi" w:hAnsiTheme="majorHAnsi"/>
        <w:color w:val="365F91" w:themeColor="accent1" w:themeShade="BF"/>
        <w:sz w:val="32"/>
        <w:szCs w:val="32"/>
      </w:rPr>
      <w:t>thermosalinometer</w:t>
    </w:r>
    <w:proofErr w:type="spellEnd"/>
    <w:r w:rsidRPr="003211EB">
      <w:rPr>
        <w:rFonts w:asciiTheme="majorHAnsi" w:hAnsiTheme="majorHAnsi"/>
        <w:color w:val="365F91" w:themeColor="accent1" w:themeShade="BF"/>
        <w:sz w:val="32"/>
        <w:szCs w:val="32"/>
      </w:rPr>
      <w:t xml:space="preserve"> </w:t>
    </w:r>
    <w:proofErr w:type="spellStart"/>
    <w:r w:rsidRPr="003211EB">
      <w:rPr>
        <w:rFonts w:asciiTheme="majorHAnsi" w:hAnsiTheme="majorHAnsi"/>
        <w:color w:val="365F91" w:themeColor="accent1" w:themeShade="BF"/>
        <w:sz w:val="32"/>
        <w:szCs w:val="32"/>
      </w:rPr>
      <w:t>measurements</w:t>
    </w:r>
    <w:proofErr w:type="spellEnd"/>
    <w:r>
      <w:rPr>
        <w:rFonts w:asciiTheme="majorHAnsi" w:hAnsiTheme="majorHAnsi"/>
        <w:color w:val="365F91" w:themeColor="accent1" w:themeShade="BF"/>
        <w:sz w:val="32"/>
        <w:szCs w:val="32"/>
      </w:rPr>
      <w:t xml:space="preserve"> : </w:t>
    </w:r>
    <w:proofErr w:type="spellStart"/>
    <w:r>
      <w:rPr>
        <w:rFonts w:asciiTheme="majorHAnsi" w:hAnsiTheme="majorHAnsi"/>
        <w:color w:val="365F91" w:themeColor="accent1" w:themeShade="BF"/>
        <w:sz w:val="32"/>
        <w:szCs w:val="32"/>
      </w:rPr>
      <w:t>Delayed</w:t>
    </w:r>
    <w:proofErr w:type="spellEnd"/>
    <w:r>
      <w:rPr>
        <w:rFonts w:asciiTheme="majorHAnsi" w:hAnsiTheme="majorHAnsi"/>
        <w:color w:val="365F91" w:themeColor="accent1" w:themeShade="BF"/>
        <w:sz w:val="32"/>
        <w:szCs w:val="32"/>
      </w:rPr>
      <w:t xml:space="preserve"> mode </w:t>
    </w:r>
    <w:proofErr w:type="spellStart"/>
    <w:r>
      <w:rPr>
        <w:rFonts w:asciiTheme="majorHAnsi" w:hAnsiTheme="majorHAnsi"/>
        <w:color w:val="365F91" w:themeColor="accent1" w:themeShade="BF"/>
        <w:sz w:val="32"/>
        <w:szCs w:val="32"/>
      </w:rPr>
      <w:t>quality</w:t>
    </w:r>
    <w:proofErr w:type="spellEnd"/>
    <w:r>
      <w:rPr>
        <w:rFonts w:asciiTheme="majorHAnsi" w:hAnsiTheme="majorHAnsi"/>
        <w:color w:val="365F91" w:themeColor="accent1" w:themeShade="BF"/>
        <w:sz w:val="32"/>
        <w:szCs w:val="32"/>
      </w:rPr>
      <w:t xml:space="preserve"> control</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8B776D"/>
    <w:multiLevelType w:val="multilevel"/>
    <w:tmpl w:val="DCCE493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nsid w:val="2CDA5086"/>
    <w:multiLevelType w:val="multilevel"/>
    <w:tmpl w:val="DCCE493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nsid w:val="5AA36D6E"/>
    <w:multiLevelType w:val="multilevel"/>
    <w:tmpl w:val="E05600B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6C5706EE"/>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6E0916F4"/>
    <w:multiLevelType w:val="multilevel"/>
    <w:tmpl w:val="DCCE493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B3A84"/>
    <w:rsid w:val="0003321F"/>
    <w:rsid w:val="000931F4"/>
    <w:rsid w:val="000C099A"/>
    <w:rsid w:val="001A7B22"/>
    <w:rsid w:val="0030050E"/>
    <w:rsid w:val="00305DCC"/>
    <w:rsid w:val="003211EB"/>
    <w:rsid w:val="003A34BD"/>
    <w:rsid w:val="003D62D6"/>
    <w:rsid w:val="0050305F"/>
    <w:rsid w:val="00543942"/>
    <w:rsid w:val="00561C6D"/>
    <w:rsid w:val="005863B8"/>
    <w:rsid w:val="005A4969"/>
    <w:rsid w:val="00677188"/>
    <w:rsid w:val="00892B0A"/>
    <w:rsid w:val="008B3A84"/>
    <w:rsid w:val="008C181A"/>
    <w:rsid w:val="009A212C"/>
    <w:rsid w:val="00A31FFF"/>
    <w:rsid w:val="00AC21AB"/>
    <w:rsid w:val="00CE6900"/>
    <w:rsid w:val="00E021FA"/>
    <w:rsid w:val="00EE447B"/>
    <w:rsid w:val="00EE6051"/>
    <w:rsid w:val="00F06D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B2F0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widowControl w:val="0"/>
      <w:tabs>
        <w:tab w:val="left" w:pos="708"/>
      </w:tabs>
      <w:suppressAutoHyphens/>
    </w:pPr>
    <w:rPr>
      <w:rFonts w:ascii="Times New Roman" w:eastAsia="Times New Roman" w:hAnsi="Times New Roman" w:cs="Times New Roman"/>
      <w:color w:val="000000"/>
      <w:lang w:val="fr-FR" w:eastAsia="en-GB"/>
    </w:rPr>
  </w:style>
  <w:style w:type="paragraph" w:styleId="Titre1">
    <w:name w:val="heading 1"/>
    <w:basedOn w:val="Standard"/>
    <w:next w:val="Corpsdetexte"/>
    <w:rsid w:val="00CE6900"/>
    <w:pPr>
      <w:keepNext/>
      <w:keepLines/>
      <w:spacing w:before="480" w:after="0"/>
      <w:outlineLvl w:val="0"/>
    </w:pPr>
    <w:rPr>
      <w:rFonts w:ascii="Calibri" w:hAnsi="Calibri"/>
      <w:b/>
      <w:bCs/>
      <w:color w:val="345A8A"/>
      <w:sz w:val="32"/>
      <w:szCs w:val="32"/>
    </w:rPr>
  </w:style>
  <w:style w:type="paragraph" w:styleId="Titre2">
    <w:name w:val="heading 2"/>
    <w:basedOn w:val="Standard"/>
    <w:next w:val="Corpsdetexte"/>
    <w:rsid w:val="00CE6900"/>
    <w:pPr>
      <w:keepNext/>
      <w:keepLines/>
      <w:spacing w:before="200" w:after="120"/>
      <w:outlineLvl w:val="1"/>
    </w:pPr>
    <w:rPr>
      <w:rFonts w:ascii="Calibri" w:hAnsi="Calibri"/>
      <w:b/>
      <w:bCs/>
      <w:color w:val="4F81BD"/>
      <w:sz w:val="28"/>
      <w:szCs w:val="26"/>
    </w:rPr>
  </w:style>
  <w:style w:type="paragraph" w:styleId="Titre3">
    <w:name w:val="heading 3"/>
    <w:basedOn w:val="Standard"/>
    <w:next w:val="Corpsdetexte"/>
    <w:rsid w:val="00CE6900"/>
    <w:pPr>
      <w:keepNext/>
      <w:keepLines/>
      <w:spacing w:before="200" w:after="0"/>
      <w:outlineLvl w:val="2"/>
    </w:pPr>
    <w:rPr>
      <w:rFonts w:ascii="Calibri" w:hAnsi="Calibri"/>
      <w:b/>
      <w:bCs/>
      <w:color w:val="4F81BD"/>
    </w:rPr>
  </w:style>
  <w:style w:type="paragraph" w:styleId="Titre4">
    <w:name w:val="heading 4"/>
    <w:basedOn w:val="Standard"/>
    <w:next w:val="Corpsdetexte"/>
    <w:pPr>
      <w:keepNext/>
      <w:keepLines/>
      <w:numPr>
        <w:ilvl w:val="3"/>
        <w:numId w:val="1"/>
      </w:numPr>
      <w:spacing w:before="200" w:after="0"/>
      <w:outlineLvl w:val="3"/>
    </w:pPr>
    <w:rPr>
      <w:rFonts w:ascii="Calibri" w:hAnsi="Calibri"/>
      <w:b/>
      <w:bCs/>
      <w:i/>
      <w:iCs/>
      <w:color w:val="4F81BD"/>
    </w:rPr>
  </w:style>
  <w:style w:type="paragraph" w:styleId="Titre5">
    <w:name w:val="heading 5"/>
    <w:basedOn w:val="Standard"/>
    <w:next w:val="Corpsdetexte"/>
    <w:pPr>
      <w:keepNext/>
      <w:keepLines/>
      <w:numPr>
        <w:ilvl w:val="4"/>
        <w:numId w:val="1"/>
      </w:numPr>
      <w:spacing w:before="200" w:after="0"/>
      <w:outlineLvl w:val="4"/>
    </w:pPr>
    <w:rPr>
      <w:rFonts w:ascii="Calibri" w:hAnsi="Calibri"/>
      <w:color w:val="243F60"/>
    </w:rPr>
  </w:style>
  <w:style w:type="paragraph" w:styleId="Titre6">
    <w:name w:val="heading 6"/>
    <w:basedOn w:val="Standard"/>
    <w:next w:val="Corpsdetexte"/>
    <w:pPr>
      <w:keepNext/>
      <w:keepLines/>
      <w:numPr>
        <w:ilvl w:val="5"/>
        <w:numId w:val="1"/>
      </w:numPr>
      <w:spacing w:before="200" w:after="0"/>
      <w:outlineLvl w:val="5"/>
    </w:pPr>
    <w:rPr>
      <w:rFonts w:ascii="Calibri" w:hAnsi="Calibri"/>
      <w:i/>
      <w:iCs/>
      <w:color w:val="243F60"/>
    </w:rPr>
  </w:style>
  <w:style w:type="paragraph" w:styleId="Titre7">
    <w:name w:val="heading 7"/>
    <w:basedOn w:val="Standard"/>
    <w:next w:val="Corpsdetexte"/>
    <w:pPr>
      <w:keepNext/>
      <w:keepLines/>
      <w:numPr>
        <w:ilvl w:val="6"/>
        <w:numId w:val="1"/>
      </w:numPr>
      <w:spacing w:before="200" w:after="0"/>
      <w:outlineLvl w:val="6"/>
    </w:pPr>
    <w:rPr>
      <w:rFonts w:ascii="Calibri" w:hAnsi="Calibri"/>
      <w:i/>
      <w:iCs/>
      <w:color w:val="404040"/>
    </w:rPr>
  </w:style>
  <w:style w:type="paragraph" w:styleId="Titre8">
    <w:name w:val="heading 8"/>
    <w:basedOn w:val="Standard"/>
    <w:next w:val="Corpsdetexte"/>
    <w:pPr>
      <w:keepNext/>
      <w:keepLines/>
      <w:numPr>
        <w:ilvl w:val="7"/>
        <w:numId w:val="1"/>
      </w:numPr>
      <w:spacing w:before="200" w:after="0"/>
      <w:outlineLvl w:val="7"/>
    </w:pPr>
    <w:rPr>
      <w:rFonts w:ascii="Calibri" w:hAnsi="Calibri"/>
      <w:color w:val="404040"/>
      <w:sz w:val="20"/>
      <w:szCs w:val="20"/>
    </w:rPr>
  </w:style>
  <w:style w:type="paragraph" w:styleId="Titre9">
    <w:name w:val="heading 9"/>
    <w:basedOn w:val="Standard"/>
    <w:next w:val="Corpsdetexte"/>
    <w:pPr>
      <w:keepNext/>
      <w:keepLines/>
      <w:numPr>
        <w:ilvl w:val="8"/>
        <w:numId w:val="1"/>
      </w:numPr>
      <w:spacing w:before="200" w:after="0"/>
      <w:outlineLvl w:val="8"/>
    </w:pPr>
    <w:rPr>
      <w:rFonts w:ascii="Calibri" w:hAnsi="Calibri"/>
      <w:i/>
      <w:iCs/>
      <w:color w:val="40404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tabs>
        <w:tab w:val="left" w:pos="708"/>
      </w:tabs>
      <w:suppressAutoHyphens/>
      <w:spacing w:after="200"/>
    </w:pPr>
    <w:rPr>
      <w:rFonts w:ascii="Cambria" w:eastAsia="WenQuanYi Micro Hei" w:hAnsi="Cambria"/>
      <w:lang w:val="en-GB"/>
    </w:rPr>
  </w:style>
  <w:style w:type="character" w:customStyle="1" w:styleId="Titre1Car">
    <w:name w:val="Titre 1 Car"/>
    <w:basedOn w:val="Policepardfaut"/>
    <w:rPr>
      <w:rFonts w:ascii="Calibri" w:hAnsi="Calibri"/>
      <w:b/>
      <w:bCs/>
      <w:color w:val="345A8A"/>
      <w:sz w:val="32"/>
      <w:szCs w:val="32"/>
      <w:lang w:val="en-GB"/>
    </w:rPr>
  </w:style>
  <w:style w:type="character" w:customStyle="1" w:styleId="Titre2Car">
    <w:name w:val="Titre 2 Car"/>
    <w:basedOn w:val="Policepardfaut"/>
    <w:rPr>
      <w:rFonts w:ascii="Calibri" w:hAnsi="Calibri"/>
      <w:b/>
      <w:bCs/>
      <w:color w:val="4F81BD"/>
      <w:sz w:val="26"/>
      <w:szCs w:val="26"/>
      <w:lang w:val="en-GB"/>
    </w:rPr>
  </w:style>
  <w:style w:type="character" w:customStyle="1" w:styleId="Titre3Car">
    <w:name w:val="Titre 3 Car"/>
    <w:basedOn w:val="Policepardfaut"/>
    <w:rPr>
      <w:rFonts w:ascii="Calibri" w:hAnsi="Calibri"/>
      <w:b/>
      <w:bCs/>
      <w:color w:val="4F81BD"/>
      <w:lang w:val="en-GB"/>
    </w:rPr>
  </w:style>
  <w:style w:type="character" w:customStyle="1" w:styleId="Titre4Car">
    <w:name w:val="Titre 4 Car"/>
    <w:basedOn w:val="Policepardfaut"/>
    <w:rPr>
      <w:rFonts w:ascii="Calibri" w:hAnsi="Calibri"/>
      <w:b/>
      <w:bCs/>
      <w:i/>
      <w:iCs/>
      <w:color w:val="4F81BD"/>
      <w:lang w:val="en-GB"/>
    </w:rPr>
  </w:style>
  <w:style w:type="character" w:customStyle="1" w:styleId="Titre5Car">
    <w:name w:val="Titre 5 Car"/>
    <w:basedOn w:val="Policepardfaut"/>
    <w:rPr>
      <w:rFonts w:ascii="Calibri" w:hAnsi="Calibri"/>
      <w:color w:val="243F60"/>
      <w:lang w:val="en-GB"/>
    </w:rPr>
  </w:style>
  <w:style w:type="character" w:customStyle="1" w:styleId="Titre6Car">
    <w:name w:val="Titre 6 Car"/>
    <w:basedOn w:val="Policepardfaut"/>
    <w:rPr>
      <w:rFonts w:ascii="Calibri" w:hAnsi="Calibri"/>
      <w:i/>
      <w:iCs/>
      <w:color w:val="243F60"/>
      <w:lang w:val="en-GB"/>
    </w:rPr>
  </w:style>
  <w:style w:type="character" w:customStyle="1" w:styleId="Titre7Car">
    <w:name w:val="Titre 7 Car"/>
    <w:basedOn w:val="Policepardfaut"/>
    <w:rPr>
      <w:rFonts w:ascii="Calibri" w:hAnsi="Calibri"/>
      <w:i/>
      <w:iCs/>
      <w:color w:val="404040"/>
      <w:lang w:val="en-GB"/>
    </w:rPr>
  </w:style>
  <w:style w:type="character" w:customStyle="1" w:styleId="Titre8Car">
    <w:name w:val="Titre 8 Car"/>
    <w:basedOn w:val="Policepardfaut"/>
    <w:rPr>
      <w:rFonts w:ascii="Calibri" w:hAnsi="Calibri"/>
      <w:color w:val="404040"/>
      <w:sz w:val="20"/>
      <w:szCs w:val="20"/>
      <w:lang w:val="en-GB"/>
    </w:rPr>
  </w:style>
  <w:style w:type="character" w:customStyle="1" w:styleId="Titre9Car">
    <w:name w:val="Titre 9 Car"/>
    <w:basedOn w:val="Policepardfaut"/>
    <w:rPr>
      <w:rFonts w:ascii="Calibri" w:hAnsi="Calibri"/>
      <w:i/>
      <w:iCs/>
      <w:color w:val="404040"/>
      <w:sz w:val="20"/>
      <w:szCs w:val="20"/>
      <w:lang w:val="en-GB"/>
    </w:rPr>
  </w:style>
  <w:style w:type="character" w:customStyle="1" w:styleId="TitreCar">
    <w:name w:val="Titre Car"/>
    <w:basedOn w:val="Policepardfaut"/>
    <w:rPr>
      <w:rFonts w:ascii="Calibri" w:hAnsi="Calibri"/>
      <w:color w:val="17365D"/>
      <w:spacing w:val="5"/>
      <w:sz w:val="52"/>
      <w:szCs w:val="52"/>
      <w:lang w:val="en-GB"/>
    </w:rPr>
  </w:style>
  <w:style w:type="character" w:customStyle="1" w:styleId="TextedebullesCar">
    <w:name w:val="Texte de bulles Car"/>
    <w:basedOn w:val="Policepardfaut"/>
    <w:rPr>
      <w:rFonts w:ascii="Lucida Grande" w:hAnsi="Lucida Grande" w:cs="Lucida Grande"/>
      <w:sz w:val="18"/>
      <w:szCs w:val="18"/>
      <w:lang w:val="en-GB"/>
    </w:rPr>
  </w:style>
  <w:style w:type="paragraph" w:styleId="Titre">
    <w:name w:val="Title"/>
    <w:basedOn w:val="Standard"/>
    <w:next w:val="Corpsdetexte"/>
    <w:pPr>
      <w:keepNext/>
      <w:spacing w:before="240" w:after="120"/>
    </w:pPr>
    <w:rPr>
      <w:rFonts w:ascii="Arial" w:hAnsi="Arial" w:cs="Lohit Hindi"/>
      <w:sz w:val="28"/>
      <w:szCs w:val="28"/>
    </w:rPr>
  </w:style>
  <w:style w:type="paragraph" w:styleId="Corpsdetexte">
    <w:name w:val="Body Text"/>
    <w:basedOn w:val="Standard"/>
    <w:pPr>
      <w:widowControl w:val="0"/>
      <w:spacing w:before="120" w:after="120"/>
      <w:textAlignment w:val="baseline"/>
    </w:pPr>
    <w:rPr>
      <w:rFonts w:ascii="Liberation Serif" w:eastAsia="WenQuanYi Zen Hei" w:hAnsi="Liberation Serif" w:cs="Lohit Devanagari"/>
      <w:lang w:val="en-US" w:eastAsia="zh-CN" w:bidi="hi-IN"/>
    </w:rPr>
  </w:style>
  <w:style w:type="paragraph" w:styleId="Liste">
    <w:name w:val="List"/>
    <w:basedOn w:val="Corpsdetexte"/>
    <w:rPr>
      <w:rFonts w:cs="Lohit Hindi"/>
    </w:rPr>
  </w:style>
  <w:style w:type="paragraph" w:styleId="Lgende">
    <w:name w:val="caption"/>
    <w:basedOn w:val="Standard"/>
    <w:pPr>
      <w:spacing w:before="120" w:after="240"/>
      <w:jc w:val="both"/>
    </w:pPr>
    <w:rPr>
      <w:rFonts w:ascii="Calibri" w:eastAsia="Times New Roman" w:hAnsi="Calibri" w:cs="Times New Roman"/>
      <w:b/>
      <w:bCs/>
      <w:color w:val="4F81BD"/>
      <w:sz w:val="18"/>
      <w:szCs w:val="18"/>
      <w:lang w:eastAsia="en-GB"/>
    </w:rPr>
  </w:style>
  <w:style w:type="paragraph" w:customStyle="1" w:styleId="Index">
    <w:name w:val="Index"/>
    <w:basedOn w:val="Standard"/>
    <w:pPr>
      <w:suppressLineNumbers/>
    </w:pPr>
    <w:rPr>
      <w:rFonts w:cs="Lohit Hindi"/>
    </w:rPr>
  </w:style>
  <w:style w:type="paragraph" w:styleId="Paragraphedeliste">
    <w:name w:val="List Paragraph"/>
    <w:basedOn w:val="Standard"/>
    <w:pPr>
      <w:ind w:left="720"/>
    </w:pPr>
  </w:style>
  <w:style w:type="paragraph" w:customStyle="1" w:styleId="Titreprincipal">
    <w:name w:val="Titre principal"/>
    <w:basedOn w:val="Standard"/>
    <w:next w:val="Sous-titre"/>
    <w:pPr>
      <w:pBdr>
        <w:bottom w:val="single" w:sz="8" w:space="0" w:color="4F81BD"/>
      </w:pBdr>
      <w:spacing w:after="300"/>
      <w:jc w:val="center"/>
    </w:pPr>
    <w:rPr>
      <w:rFonts w:ascii="Calibri" w:hAnsi="Calibri"/>
      <w:b/>
      <w:bCs/>
      <w:color w:val="17365D"/>
      <w:spacing w:val="5"/>
      <w:sz w:val="52"/>
      <w:szCs w:val="52"/>
    </w:rPr>
  </w:style>
  <w:style w:type="paragraph" w:styleId="Sous-titre">
    <w:name w:val="Subtitle"/>
    <w:basedOn w:val="Titre"/>
    <w:next w:val="Corpsdetexte"/>
    <w:pPr>
      <w:jc w:val="center"/>
    </w:pPr>
    <w:rPr>
      <w:i/>
      <w:iCs/>
    </w:rPr>
  </w:style>
  <w:style w:type="paragraph" w:styleId="Textedebulles">
    <w:name w:val="Balloon Text"/>
    <w:basedOn w:val="Standard"/>
    <w:pPr>
      <w:spacing w:after="0"/>
    </w:pPr>
    <w:rPr>
      <w:rFonts w:ascii="Lucida Grande" w:hAnsi="Lucida Grande" w:cs="Lucida Grande"/>
      <w:sz w:val="18"/>
      <w:szCs w:val="18"/>
    </w:rPr>
  </w:style>
  <w:style w:type="paragraph" w:customStyle="1" w:styleId="Puce2">
    <w:name w:val="Puce 2"/>
    <w:basedOn w:val="Standard"/>
    <w:pPr>
      <w:spacing w:after="120"/>
      <w:ind w:left="566" w:hanging="283"/>
    </w:pPr>
  </w:style>
  <w:style w:type="paragraph" w:styleId="Commentaire">
    <w:name w:val="annotation text"/>
    <w:basedOn w:val="Normal"/>
    <w:link w:val="CommentaireCar"/>
    <w:uiPriority w:val="99"/>
    <w:semiHidden/>
    <w:unhideWhenUsed/>
  </w:style>
  <w:style w:type="character" w:customStyle="1" w:styleId="CommentaireCar">
    <w:name w:val="Commentaire Car"/>
    <w:basedOn w:val="Policepardfaut"/>
    <w:link w:val="Commentaire"/>
    <w:uiPriority w:val="99"/>
    <w:semiHidden/>
    <w:rPr>
      <w:rFonts w:ascii="Times New Roman" w:eastAsia="Times New Roman" w:hAnsi="Times New Roman" w:cs="Times New Roman"/>
      <w:color w:val="000000"/>
      <w:lang w:val="fr-FR" w:eastAsia="en-GB"/>
    </w:rPr>
  </w:style>
  <w:style w:type="character" w:styleId="Marquedannotation">
    <w:name w:val="annotation reference"/>
    <w:basedOn w:val="Policepardfaut"/>
    <w:uiPriority w:val="99"/>
    <w:semiHidden/>
    <w:unhideWhenUsed/>
    <w:rPr>
      <w:sz w:val="18"/>
      <w:szCs w:val="18"/>
    </w:rPr>
  </w:style>
  <w:style w:type="paragraph" w:styleId="En-tte">
    <w:name w:val="header"/>
    <w:basedOn w:val="Normal"/>
    <w:link w:val="En-tteCar"/>
    <w:uiPriority w:val="99"/>
    <w:unhideWhenUsed/>
    <w:rsid w:val="003211EB"/>
    <w:pPr>
      <w:tabs>
        <w:tab w:val="clear" w:pos="708"/>
        <w:tab w:val="center" w:pos="4703"/>
        <w:tab w:val="right" w:pos="9406"/>
      </w:tabs>
    </w:pPr>
  </w:style>
  <w:style w:type="character" w:customStyle="1" w:styleId="En-tteCar">
    <w:name w:val="En-tête Car"/>
    <w:basedOn w:val="Policepardfaut"/>
    <w:link w:val="En-tte"/>
    <w:uiPriority w:val="99"/>
    <w:rsid w:val="003211EB"/>
    <w:rPr>
      <w:rFonts w:ascii="Times New Roman" w:eastAsia="Times New Roman" w:hAnsi="Times New Roman" w:cs="Times New Roman"/>
      <w:color w:val="000000"/>
      <w:lang w:val="fr-FR" w:eastAsia="en-GB"/>
    </w:rPr>
  </w:style>
  <w:style w:type="paragraph" w:styleId="Pieddepage">
    <w:name w:val="footer"/>
    <w:basedOn w:val="Normal"/>
    <w:link w:val="PieddepageCar"/>
    <w:uiPriority w:val="99"/>
    <w:unhideWhenUsed/>
    <w:rsid w:val="003211EB"/>
    <w:pPr>
      <w:tabs>
        <w:tab w:val="clear" w:pos="708"/>
        <w:tab w:val="center" w:pos="4703"/>
        <w:tab w:val="right" w:pos="9406"/>
      </w:tabs>
    </w:pPr>
  </w:style>
  <w:style w:type="character" w:customStyle="1" w:styleId="PieddepageCar">
    <w:name w:val="Pied de page Car"/>
    <w:basedOn w:val="Policepardfaut"/>
    <w:link w:val="Pieddepage"/>
    <w:uiPriority w:val="99"/>
    <w:rsid w:val="003211EB"/>
    <w:rPr>
      <w:rFonts w:ascii="Times New Roman" w:eastAsia="Times New Roman" w:hAnsi="Times New Roman" w:cs="Times New Roman"/>
      <w:color w:val="000000"/>
      <w:lang w:val="fr-FR" w:eastAsia="en-GB"/>
    </w:rPr>
  </w:style>
  <w:style w:type="character" w:styleId="Lienhypertexte">
    <w:name w:val="Hyperlink"/>
    <w:basedOn w:val="Policepardfaut"/>
    <w:uiPriority w:val="99"/>
    <w:semiHidden/>
    <w:unhideWhenUsed/>
    <w:rsid w:val="005A4969"/>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http://www.ird.fr/us191/spip.php?article63" TargetMode="External"/><Relationship Id="rId10" Type="http://schemas.openxmlformats.org/officeDocument/2006/relationships/hyperlink" Target="http://doi.org/10.1038/sdata.2015.54"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4</Pages>
  <Words>1120</Words>
  <Characters>6160</Characters>
  <Application>Microsoft Macintosh Word</Application>
  <DocSecurity>0</DocSecurity>
  <Lines>51</Lines>
  <Paragraphs>14</Paragraphs>
  <ScaleCrop>false</ScaleCrop>
  <Company>LPO-Ifremer</Company>
  <LinksUpToDate>false</LinksUpToDate>
  <CharactersWithSpaces>7266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Fabienne Gaillard</dc:creator>
  <cp:lastModifiedBy>Fabienne Gaillard</cp:lastModifiedBy>
  <cp:revision>15</cp:revision>
  <dcterms:created xsi:type="dcterms:W3CDTF">2016-03-30T10:09:00Z</dcterms:created>
  <dcterms:modified xsi:type="dcterms:W3CDTF">2016-04-11T16:07:00Z</dcterms:modified>
</cp:coreProperties>
</file>